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31" w:rsidRDefault="00DC5B31" w:rsidP="00911A71">
      <w:pPr>
        <w:rPr>
          <w:sz w:val="28"/>
          <w:szCs w:val="28"/>
        </w:rPr>
      </w:pPr>
      <w:r w:rsidRPr="00577CC6">
        <w:rPr>
          <w:noProof/>
          <w:lang w:val="de-CH"/>
        </w:rPr>
        <w:drawing>
          <wp:inline distT="0" distB="0" distL="0" distR="0" wp14:anchorId="3B420F70" wp14:editId="70570EC8">
            <wp:extent cx="4296668" cy="202758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291" cy="20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1A71" w:rsidRDefault="00911A71" w:rsidP="00911A71">
      <w:pPr>
        <w:rPr>
          <w:sz w:val="28"/>
          <w:szCs w:val="28"/>
        </w:rPr>
      </w:pPr>
    </w:p>
    <w:p w:rsidR="00F540E2" w:rsidRPr="00911A71" w:rsidRDefault="001F6DC0" w:rsidP="00AB6C85">
      <w:pPr>
        <w:pStyle w:val="Titel1"/>
        <w:spacing w:before="48" w:after="144"/>
      </w:pPr>
      <w:r w:rsidRPr="00911A71">
        <w:t xml:space="preserve">WP2 </w:t>
      </w:r>
    </w:p>
    <w:p w:rsidR="001F6DC0" w:rsidRPr="00911A71" w:rsidRDefault="001F6DC0" w:rsidP="00AB6C85">
      <w:pPr>
        <w:pStyle w:val="Titel1"/>
        <w:spacing w:before="48" w:after="144"/>
      </w:pPr>
      <w:r w:rsidRPr="00911A71">
        <w:t>Process monitoring and performance control</w:t>
      </w:r>
    </w:p>
    <w:p w:rsidR="001F6DC0" w:rsidRPr="00911A71" w:rsidRDefault="001F6DC0" w:rsidP="00AB6C85">
      <w:pPr>
        <w:pStyle w:val="Titel1"/>
        <w:spacing w:before="48" w:after="144"/>
      </w:pPr>
      <w:r w:rsidRPr="00911A71">
        <w:t>Minutes of Break-out Session</w:t>
      </w:r>
    </w:p>
    <w:p w:rsidR="001F6DC0" w:rsidRPr="00911A71" w:rsidRDefault="001F6DC0" w:rsidP="00AB6C85">
      <w:pPr>
        <w:pStyle w:val="Titel1"/>
        <w:spacing w:before="48" w:after="144"/>
      </w:pPr>
      <w:r w:rsidRPr="00911A71">
        <w:t>Kick-off meeting 12-13 March 2014, Manresa, Spain</w:t>
      </w:r>
    </w:p>
    <w:p w:rsidR="001F6DC0" w:rsidRDefault="001F6DC0" w:rsidP="00911A71"/>
    <w:tbl>
      <w:tblPr>
        <w:tblStyle w:val="Tabellenraster"/>
        <w:tblW w:w="6946" w:type="dxa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5440"/>
      </w:tblGrid>
      <w:tr w:rsidR="00240915" w:rsidRPr="00152C92" w:rsidTr="00EA45BF">
        <w:tc>
          <w:tcPr>
            <w:tcW w:w="6946" w:type="dxa"/>
            <w:gridSpan w:val="2"/>
          </w:tcPr>
          <w:p w:rsidR="00240915" w:rsidRPr="00152C92" w:rsidRDefault="00240915" w:rsidP="00240915">
            <w:pPr>
              <w:pStyle w:val="Heading"/>
            </w:pPr>
            <w:r w:rsidRPr="001F6DC0">
              <w:t>Attendees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1F6DC0" w:rsidRDefault="00240915" w:rsidP="00240915">
            <w:pPr>
              <w:pStyle w:val="Attendees"/>
            </w:pPr>
            <w:r>
              <w:t>CTM</w:t>
            </w:r>
          </w:p>
        </w:tc>
        <w:tc>
          <w:tcPr>
            <w:tcW w:w="5440" w:type="dxa"/>
          </w:tcPr>
          <w:p w:rsidR="00240915" w:rsidRDefault="00240915" w:rsidP="00240915">
            <w:pPr>
              <w:pStyle w:val="Attendees"/>
            </w:pPr>
            <w:r w:rsidRPr="00152C92">
              <w:t xml:space="preserve">Montse </w:t>
            </w:r>
            <w:r w:rsidRPr="00152C92">
              <w:rPr>
                <w:caps/>
              </w:rPr>
              <w:t>Calderer</w:t>
            </w:r>
            <w:r w:rsidRPr="00152C92">
              <w:t xml:space="preserve"> </w:t>
            </w:r>
          </w:p>
          <w:p w:rsidR="00240915" w:rsidRPr="001F6DC0" w:rsidRDefault="00240915" w:rsidP="00240915">
            <w:pPr>
              <w:pStyle w:val="Attendees"/>
            </w:pPr>
            <w:r w:rsidRPr="00152C92">
              <w:t xml:space="preserve">Laia </w:t>
            </w:r>
            <w:r w:rsidRPr="00152C92">
              <w:rPr>
                <w:caps/>
              </w:rPr>
              <w:t>Llena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1F6DC0" w:rsidRDefault="00240915" w:rsidP="00240915">
            <w:pPr>
              <w:pStyle w:val="Attendees"/>
            </w:pPr>
            <w:r>
              <w:t>FHNW</w:t>
            </w:r>
          </w:p>
        </w:tc>
        <w:tc>
          <w:tcPr>
            <w:tcW w:w="5440" w:type="dxa"/>
          </w:tcPr>
          <w:p w:rsidR="00240915" w:rsidRDefault="00240915" w:rsidP="00240915">
            <w:pPr>
              <w:pStyle w:val="Attendees"/>
            </w:pPr>
            <w:r w:rsidRPr="00152C92">
              <w:t xml:space="preserve">Rita </w:t>
            </w:r>
            <w:r w:rsidRPr="00152C92">
              <w:rPr>
                <w:caps/>
              </w:rPr>
              <w:t>Hochstrat</w:t>
            </w:r>
            <w:r w:rsidRPr="00152C92">
              <w:t xml:space="preserve"> </w:t>
            </w:r>
          </w:p>
          <w:p w:rsidR="00240915" w:rsidRPr="001F6DC0" w:rsidRDefault="00240915" w:rsidP="00240915">
            <w:pPr>
              <w:pStyle w:val="Attendees"/>
            </w:pPr>
            <w:r w:rsidRPr="00152C92">
              <w:t xml:space="preserve">Thomas </w:t>
            </w:r>
            <w:r w:rsidRPr="00152C92">
              <w:rPr>
                <w:caps/>
              </w:rPr>
              <w:t>Wintgens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DD1EEB" w:rsidRDefault="00240915" w:rsidP="00240915">
            <w:pPr>
              <w:pStyle w:val="Attendees"/>
            </w:pPr>
            <w:r w:rsidRPr="00DD1EEB">
              <w:t>UCRAN</w:t>
            </w:r>
          </w:p>
        </w:tc>
        <w:tc>
          <w:tcPr>
            <w:tcW w:w="5440" w:type="dxa"/>
          </w:tcPr>
          <w:p w:rsidR="00240915" w:rsidRPr="001F6DC0" w:rsidRDefault="00240915" w:rsidP="00240915">
            <w:pPr>
              <w:pStyle w:val="Attendees"/>
            </w:pPr>
            <w:r>
              <w:t>Not attending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DD1EEB" w:rsidRDefault="00240915" w:rsidP="00240915">
            <w:pPr>
              <w:pStyle w:val="Attendees"/>
            </w:pPr>
            <w:r w:rsidRPr="00DD1EEB">
              <w:t>IRSA-CNR</w:t>
            </w:r>
          </w:p>
        </w:tc>
        <w:tc>
          <w:tcPr>
            <w:tcW w:w="5440" w:type="dxa"/>
          </w:tcPr>
          <w:p w:rsidR="00240915" w:rsidRPr="001F6DC0" w:rsidRDefault="00240915" w:rsidP="00240915">
            <w:pPr>
              <w:pStyle w:val="Attendees"/>
            </w:pPr>
            <w:r w:rsidRPr="00152C92">
              <w:t xml:space="preserve">Alfieri </w:t>
            </w:r>
            <w:r w:rsidRPr="00961659">
              <w:rPr>
                <w:caps/>
              </w:rPr>
              <w:t>Pollice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DD1EEB" w:rsidRDefault="00240915" w:rsidP="00240915">
            <w:pPr>
              <w:pStyle w:val="Attendees"/>
            </w:pPr>
            <w:r>
              <w:t>IRTA</w:t>
            </w:r>
          </w:p>
        </w:tc>
        <w:tc>
          <w:tcPr>
            <w:tcW w:w="5440" w:type="dxa"/>
          </w:tcPr>
          <w:p w:rsidR="00240915" w:rsidRPr="001F6DC0" w:rsidRDefault="00240915" w:rsidP="00240915">
            <w:pPr>
              <w:pStyle w:val="Attendees"/>
            </w:pPr>
            <w:r w:rsidRPr="00152C92">
              <w:t xml:space="preserve">Robert </w:t>
            </w:r>
            <w:r w:rsidRPr="00152C92">
              <w:rPr>
                <w:caps/>
              </w:rPr>
              <w:t>Save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713DE8" w:rsidRDefault="00240915" w:rsidP="00240915">
            <w:pPr>
              <w:pStyle w:val="Attendees"/>
            </w:pPr>
            <w:r w:rsidRPr="00713DE8">
              <w:t>ROTEC</w:t>
            </w:r>
          </w:p>
        </w:tc>
        <w:tc>
          <w:tcPr>
            <w:tcW w:w="5440" w:type="dxa"/>
          </w:tcPr>
          <w:p w:rsidR="00240915" w:rsidRPr="001F6DC0" w:rsidRDefault="00240915" w:rsidP="00240915">
            <w:pPr>
              <w:pStyle w:val="Attendees"/>
            </w:pPr>
            <w:r>
              <w:t xml:space="preserve">Noam </w:t>
            </w:r>
            <w:r w:rsidRPr="00961659">
              <w:rPr>
                <w:caps/>
              </w:rPr>
              <w:t>Perlmuter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Default="00240915" w:rsidP="00240915">
            <w:pPr>
              <w:pStyle w:val="Attendees"/>
            </w:pPr>
            <w:r w:rsidRPr="00713DE8">
              <w:t>BlueBiolab</w:t>
            </w:r>
          </w:p>
        </w:tc>
        <w:tc>
          <w:tcPr>
            <w:tcW w:w="5440" w:type="dxa"/>
          </w:tcPr>
          <w:p w:rsidR="00240915" w:rsidRDefault="00240915" w:rsidP="00240915">
            <w:pPr>
              <w:pStyle w:val="Attendees"/>
            </w:pPr>
            <w:r w:rsidRPr="00152C92">
              <w:t xml:space="preserve">Manuel </w:t>
            </w:r>
            <w:r w:rsidRPr="00152C92">
              <w:rPr>
                <w:caps/>
              </w:rPr>
              <w:t>Po</w:t>
            </w:r>
            <w:r>
              <w:rPr>
                <w:caps/>
              </w:rPr>
              <w:t>pi</w:t>
            </w:r>
            <w:r w:rsidRPr="00152C92">
              <w:rPr>
                <w:caps/>
              </w:rPr>
              <w:t>ol</w:t>
            </w:r>
            <w:r w:rsidRPr="00152C92">
              <w:t xml:space="preserve"> </w:t>
            </w:r>
          </w:p>
          <w:p w:rsidR="00240915" w:rsidRPr="001F6DC0" w:rsidRDefault="00240915" w:rsidP="00240915">
            <w:pPr>
              <w:pStyle w:val="Attendees"/>
            </w:pPr>
            <w:r w:rsidRPr="00152C92">
              <w:t xml:space="preserve">Oliver </w:t>
            </w:r>
            <w:r w:rsidRPr="00152C92">
              <w:rPr>
                <w:caps/>
              </w:rPr>
              <w:t>Thronicker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713DE8" w:rsidRDefault="00240915" w:rsidP="00240915">
            <w:pPr>
              <w:pStyle w:val="Attendees"/>
            </w:pPr>
            <w:r>
              <w:t>DCI</w:t>
            </w:r>
          </w:p>
        </w:tc>
        <w:tc>
          <w:tcPr>
            <w:tcW w:w="5440" w:type="dxa"/>
          </w:tcPr>
          <w:p w:rsidR="00240915" w:rsidRPr="00152C92" w:rsidRDefault="00240915" w:rsidP="00240915">
            <w:pPr>
              <w:pStyle w:val="Attendees"/>
            </w:pPr>
            <w:r w:rsidRPr="00152C92">
              <w:t xml:space="preserve">Guillem </w:t>
            </w:r>
            <w:r w:rsidRPr="002D2051">
              <w:rPr>
                <w:caps/>
              </w:rPr>
              <w:t>Gilabert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713DE8" w:rsidRDefault="00240915" w:rsidP="00240915">
            <w:pPr>
              <w:pStyle w:val="Attendees"/>
            </w:pPr>
            <w:r>
              <w:t>MEKOROT</w:t>
            </w:r>
          </w:p>
        </w:tc>
        <w:tc>
          <w:tcPr>
            <w:tcW w:w="5440" w:type="dxa"/>
          </w:tcPr>
          <w:p w:rsidR="00240915" w:rsidRDefault="00240915" w:rsidP="00240915">
            <w:pPr>
              <w:pStyle w:val="Attendees"/>
            </w:pPr>
            <w:r w:rsidRPr="00240915">
              <w:t xml:space="preserve">Anat </w:t>
            </w:r>
            <w:r w:rsidRPr="00471322">
              <w:rPr>
                <w:caps/>
              </w:rPr>
              <w:t>Lakretz</w:t>
            </w:r>
            <w:r w:rsidRPr="00152C92">
              <w:t xml:space="preserve"> </w:t>
            </w:r>
          </w:p>
          <w:p w:rsidR="00240915" w:rsidRPr="00152C92" w:rsidRDefault="00240915" w:rsidP="00240915">
            <w:pPr>
              <w:pStyle w:val="Attendees"/>
            </w:pPr>
            <w:r w:rsidRPr="00152C92">
              <w:t xml:space="preserve">Haim </w:t>
            </w:r>
            <w:r w:rsidRPr="00152C92">
              <w:rPr>
                <w:caps/>
              </w:rPr>
              <w:t>Chikurel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152C92" w:rsidRDefault="00240915" w:rsidP="00240915">
            <w:pPr>
              <w:pStyle w:val="Attendees"/>
            </w:pPr>
            <w:r>
              <w:t>VERI</w:t>
            </w:r>
          </w:p>
        </w:tc>
        <w:tc>
          <w:tcPr>
            <w:tcW w:w="5440" w:type="dxa"/>
          </w:tcPr>
          <w:p w:rsidR="00240915" w:rsidRPr="00152C92" w:rsidRDefault="00240915" w:rsidP="00240915">
            <w:pPr>
              <w:pStyle w:val="Attendees"/>
            </w:pPr>
            <w:r>
              <w:t>Not attending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713DE8" w:rsidRDefault="00240915" w:rsidP="00240915">
            <w:pPr>
              <w:pStyle w:val="Attendees"/>
            </w:pPr>
            <w:r w:rsidRPr="00152C92">
              <w:t>IWVA</w:t>
            </w:r>
          </w:p>
        </w:tc>
        <w:tc>
          <w:tcPr>
            <w:tcW w:w="5440" w:type="dxa"/>
          </w:tcPr>
          <w:p w:rsidR="00240915" w:rsidRPr="00152C92" w:rsidRDefault="00240915" w:rsidP="00240915">
            <w:pPr>
              <w:pStyle w:val="Attendees"/>
            </w:pPr>
            <w:r w:rsidRPr="00152C92">
              <w:t xml:space="preserve">Emmanuel </w:t>
            </w:r>
            <w:r w:rsidRPr="00152C92">
              <w:rPr>
                <w:caps/>
              </w:rPr>
              <w:t>van Houtte</w:t>
            </w:r>
          </w:p>
        </w:tc>
      </w:tr>
      <w:tr w:rsidR="00240915" w:rsidRPr="00152C92" w:rsidTr="00EA45BF">
        <w:tc>
          <w:tcPr>
            <w:tcW w:w="1506" w:type="dxa"/>
          </w:tcPr>
          <w:p w:rsidR="00240915" w:rsidRPr="00152C92" w:rsidRDefault="00240915" w:rsidP="00240915">
            <w:pPr>
              <w:pStyle w:val="Attendees"/>
            </w:pPr>
            <w:r w:rsidRPr="00152C92">
              <w:t>Hquimia</w:t>
            </w:r>
          </w:p>
        </w:tc>
        <w:tc>
          <w:tcPr>
            <w:tcW w:w="5440" w:type="dxa"/>
          </w:tcPr>
          <w:p w:rsidR="00240915" w:rsidRPr="00152C92" w:rsidRDefault="00240915" w:rsidP="00240915">
            <w:pPr>
              <w:pStyle w:val="Attendees"/>
            </w:pPr>
            <w:r>
              <w:t>A</w:t>
            </w:r>
            <w:r w:rsidRPr="00152C92">
              <w:t xml:space="preserve">ngel </w:t>
            </w:r>
            <w:r w:rsidRPr="00152C92">
              <w:rPr>
                <w:caps/>
              </w:rPr>
              <w:t>Teno</w:t>
            </w:r>
          </w:p>
        </w:tc>
      </w:tr>
    </w:tbl>
    <w:p w:rsidR="00911A71" w:rsidRPr="00BF66FC" w:rsidRDefault="00911A71" w:rsidP="00911A71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5651"/>
        <w:gridCol w:w="1728"/>
        <w:gridCol w:w="1701"/>
      </w:tblGrid>
      <w:tr w:rsidR="00255D4B" w:rsidRPr="00911A71" w:rsidTr="00255D4B">
        <w:tc>
          <w:tcPr>
            <w:tcW w:w="418" w:type="dxa"/>
          </w:tcPr>
          <w:p w:rsidR="00255D4B" w:rsidRPr="00911A71" w:rsidRDefault="00255D4B" w:rsidP="00911A71">
            <w:pPr>
              <w:rPr>
                <w:sz w:val="32"/>
                <w:szCs w:val="32"/>
              </w:rPr>
            </w:pPr>
          </w:p>
        </w:tc>
        <w:tc>
          <w:tcPr>
            <w:tcW w:w="5651" w:type="dxa"/>
          </w:tcPr>
          <w:p w:rsidR="00255D4B" w:rsidRPr="00911A71" w:rsidRDefault="00255D4B" w:rsidP="00911A71">
            <w:pPr>
              <w:rPr>
                <w:sz w:val="32"/>
                <w:szCs w:val="32"/>
              </w:rPr>
            </w:pPr>
            <w:r w:rsidRPr="00911A71">
              <w:rPr>
                <w:sz w:val="32"/>
                <w:szCs w:val="32"/>
              </w:rPr>
              <w:t>Action list from WP2 break-out session</w:t>
            </w:r>
          </w:p>
        </w:tc>
        <w:tc>
          <w:tcPr>
            <w:tcW w:w="1728" w:type="dxa"/>
          </w:tcPr>
          <w:p w:rsidR="00255D4B" w:rsidRPr="00911A71" w:rsidRDefault="00255D4B" w:rsidP="00911A7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55D4B" w:rsidRPr="00911A71" w:rsidRDefault="00255D4B" w:rsidP="00911A71">
            <w:pPr>
              <w:rPr>
                <w:sz w:val="32"/>
                <w:szCs w:val="32"/>
              </w:rPr>
            </w:pPr>
          </w:p>
        </w:tc>
      </w:tr>
      <w:tr w:rsidR="00255D4B" w:rsidRPr="00671468" w:rsidTr="00255D4B">
        <w:tc>
          <w:tcPr>
            <w:tcW w:w="418" w:type="dxa"/>
          </w:tcPr>
          <w:p w:rsidR="00255D4B" w:rsidRPr="00671468" w:rsidRDefault="00255D4B" w:rsidP="00911A71">
            <w:pPr>
              <w:rPr>
                <w:b/>
              </w:rPr>
            </w:pPr>
          </w:p>
        </w:tc>
        <w:tc>
          <w:tcPr>
            <w:tcW w:w="5651" w:type="dxa"/>
          </w:tcPr>
          <w:p w:rsidR="00255D4B" w:rsidRPr="00671468" w:rsidRDefault="00255D4B" w:rsidP="00911A71">
            <w:pPr>
              <w:rPr>
                <w:b/>
              </w:rPr>
            </w:pPr>
            <w:r w:rsidRPr="00671468">
              <w:rPr>
                <w:b/>
              </w:rPr>
              <w:t>What</w:t>
            </w:r>
          </w:p>
        </w:tc>
        <w:tc>
          <w:tcPr>
            <w:tcW w:w="1728" w:type="dxa"/>
          </w:tcPr>
          <w:p w:rsidR="00255D4B" w:rsidRPr="00671468" w:rsidRDefault="00255D4B" w:rsidP="00911A71">
            <w:pPr>
              <w:rPr>
                <w:b/>
              </w:rPr>
            </w:pPr>
            <w:r w:rsidRPr="00671468">
              <w:rPr>
                <w:b/>
              </w:rPr>
              <w:t>When</w:t>
            </w:r>
          </w:p>
        </w:tc>
        <w:tc>
          <w:tcPr>
            <w:tcW w:w="1701" w:type="dxa"/>
          </w:tcPr>
          <w:p w:rsidR="00255D4B" w:rsidRPr="00671468" w:rsidRDefault="00255D4B" w:rsidP="00911A71">
            <w:pPr>
              <w:rPr>
                <w:b/>
              </w:rPr>
            </w:pPr>
            <w:r w:rsidRPr="00671468">
              <w:rPr>
                <w:b/>
              </w:rPr>
              <w:t>Who</w:t>
            </w:r>
          </w:p>
        </w:tc>
      </w:tr>
      <w:tr w:rsidR="00911A71" w:rsidRPr="00152C92" w:rsidTr="00255D4B">
        <w:tc>
          <w:tcPr>
            <w:tcW w:w="418" w:type="dxa"/>
          </w:tcPr>
          <w:p w:rsidR="00911A71" w:rsidRPr="00F540E2" w:rsidRDefault="00911A71" w:rsidP="00885EBC">
            <w:r>
              <w:t>1</w:t>
            </w:r>
          </w:p>
        </w:tc>
        <w:tc>
          <w:tcPr>
            <w:tcW w:w="5651" w:type="dxa"/>
          </w:tcPr>
          <w:p w:rsidR="00911A71" w:rsidRPr="006E33C4" w:rsidRDefault="00911A71" w:rsidP="00911A71">
            <w:r>
              <w:t>Update, completion of contact details</w:t>
            </w:r>
          </w:p>
        </w:tc>
        <w:tc>
          <w:tcPr>
            <w:tcW w:w="1728" w:type="dxa"/>
          </w:tcPr>
          <w:p w:rsidR="00911A71" w:rsidRDefault="00911A71" w:rsidP="00F15971">
            <w:r>
              <w:t>01.04.14</w:t>
            </w:r>
          </w:p>
        </w:tc>
        <w:tc>
          <w:tcPr>
            <w:tcW w:w="1701" w:type="dxa"/>
          </w:tcPr>
          <w:p w:rsidR="00911A71" w:rsidRDefault="00911A71" w:rsidP="00911A71">
            <w:r>
              <w:t>all</w:t>
            </w:r>
          </w:p>
        </w:tc>
      </w:tr>
      <w:tr w:rsidR="00911A71" w:rsidRPr="00152C92" w:rsidTr="00255D4B">
        <w:tc>
          <w:tcPr>
            <w:tcW w:w="418" w:type="dxa"/>
            <w:vMerge w:val="restart"/>
          </w:tcPr>
          <w:p w:rsidR="00911A71" w:rsidRDefault="00911A71" w:rsidP="00885EBC">
            <w:r>
              <w:t>2</w:t>
            </w:r>
          </w:p>
        </w:tc>
        <w:tc>
          <w:tcPr>
            <w:tcW w:w="5651" w:type="dxa"/>
            <w:vMerge w:val="restart"/>
          </w:tcPr>
          <w:p w:rsidR="00911A71" w:rsidRPr="006E33C4" w:rsidRDefault="00911A71" w:rsidP="00911A71">
            <w:r w:rsidRPr="006E33C4">
              <w:t>Short report by involved partners</w:t>
            </w:r>
          </w:p>
          <w:p w:rsidR="00911A71" w:rsidRPr="00556879" w:rsidRDefault="00911A71" w:rsidP="00911A71">
            <w:pPr>
              <w:pStyle w:val="bulletedlist"/>
              <w:spacing w:before="48" w:after="48"/>
            </w:pPr>
            <w:r w:rsidRPr="00556879">
              <w:t>description of methods</w:t>
            </w:r>
            <w:r>
              <w:t>/technology</w:t>
            </w:r>
            <w:r w:rsidRPr="00556879">
              <w:t xml:space="preserve"> used</w:t>
            </w:r>
            <w:r w:rsidR="00EA45BF">
              <w:t xml:space="preserve"> (qPCR)</w:t>
            </w:r>
            <w:r w:rsidRPr="00556879">
              <w:t xml:space="preserve">, </w:t>
            </w:r>
          </w:p>
          <w:p w:rsidR="00911A71" w:rsidRDefault="00911A71" w:rsidP="00911A71">
            <w:pPr>
              <w:pStyle w:val="bulletedlist"/>
              <w:spacing w:before="48" w:after="48"/>
            </w:pPr>
            <w:r w:rsidRPr="00B1229F">
              <w:t>type</w:t>
            </w:r>
            <w:r>
              <w:t>s</w:t>
            </w:r>
            <w:r w:rsidRPr="00B1229F">
              <w:t xml:space="preserve"> of flowcytometry</w:t>
            </w:r>
            <w:r>
              <w:t xml:space="preserve"> and how it works</w:t>
            </w:r>
          </w:p>
          <w:p w:rsidR="00911A71" w:rsidRPr="00F540E2" w:rsidRDefault="00911A71" w:rsidP="00911A71">
            <w:pPr>
              <w:pStyle w:val="bulletedlist"/>
              <w:spacing w:before="48" w:after="48"/>
            </w:pPr>
            <w:r>
              <w:t>Intented</w:t>
            </w:r>
            <w:r w:rsidRPr="00152C92">
              <w:t xml:space="preserve"> use in sites and</w:t>
            </w:r>
            <w:r>
              <w:t xml:space="preserve"> envisaged</w:t>
            </w:r>
            <w:r w:rsidRPr="00152C92">
              <w:t xml:space="preserve"> timeframe</w:t>
            </w:r>
          </w:p>
        </w:tc>
        <w:tc>
          <w:tcPr>
            <w:tcW w:w="1728" w:type="dxa"/>
            <w:vMerge w:val="restart"/>
          </w:tcPr>
          <w:p w:rsidR="00911A71" w:rsidRDefault="00911A71" w:rsidP="00F15971">
            <w:r>
              <w:t>15.04.14</w:t>
            </w:r>
          </w:p>
        </w:tc>
        <w:tc>
          <w:tcPr>
            <w:tcW w:w="1701" w:type="dxa"/>
          </w:tcPr>
          <w:p w:rsidR="00911A71" w:rsidRDefault="00911A71" w:rsidP="00911A71">
            <w:r>
              <w:t>UCRAN</w:t>
            </w:r>
          </w:p>
        </w:tc>
      </w:tr>
      <w:tr w:rsidR="00911A71" w:rsidRPr="00152C92" w:rsidTr="00255D4B">
        <w:tc>
          <w:tcPr>
            <w:tcW w:w="418" w:type="dxa"/>
            <w:vMerge/>
          </w:tcPr>
          <w:p w:rsidR="00911A71" w:rsidRDefault="00911A71" w:rsidP="00911A71"/>
        </w:tc>
        <w:tc>
          <w:tcPr>
            <w:tcW w:w="5651" w:type="dxa"/>
            <w:vMerge/>
          </w:tcPr>
          <w:p w:rsidR="00911A71" w:rsidRPr="006E33C4" w:rsidRDefault="00911A71" w:rsidP="00911A71"/>
        </w:tc>
        <w:tc>
          <w:tcPr>
            <w:tcW w:w="1728" w:type="dxa"/>
            <w:vMerge/>
          </w:tcPr>
          <w:p w:rsidR="00911A71" w:rsidRDefault="00911A71" w:rsidP="00911A71"/>
        </w:tc>
        <w:tc>
          <w:tcPr>
            <w:tcW w:w="1701" w:type="dxa"/>
          </w:tcPr>
          <w:p w:rsidR="00911A71" w:rsidRDefault="00911A71" w:rsidP="00911A71">
            <w:r>
              <w:t>BlueB</w:t>
            </w:r>
            <w:r w:rsidRPr="00152C92">
              <w:t>io</w:t>
            </w:r>
          </w:p>
        </w:tc>
      </w:tr>
      <w:tr w:rsidR="00911A71" w:rsidRPr="00152C92" w:rsidTr="00255D4B">
        <w:tc>
          <w:tcPr>
            <w:tcW w:w="418" w:type="dxa"/>
            <w:vMerge/>
          </w:tcPr>
          <w:p w:rsidR="00911A71" w:rsidRDefault="00911A71" w:rsidP="00911A71"/>
        </w:tc>
        <w:tc>
          <w:tcPr>
            <w:tcW w:w="5651" w:type="dxa"/>
            <w:vMerge/>
          </w:tcPr>
          <w:p w:rsidR="00911A71" w:rsidRPr="006E33C4" w:rsidRDefault="00911A71" w:rsidP="00911A71"/>
        </w:tc>
        <w:tc>
          <w:tcPr>
            <w:tcW w:w="1728" w:type="dxa"/>
            <w:vMerge/>
          </w:tcPr>
          <w:p w:rsidR="00911A71" w:rsidRDefault="00911A71" w:rsidP="00911A71"/>
        </w:tc>
        <w:tc>
          <w:tcPr>
            <w:tcW w:w="1701" w:type="dxa"/>
          </w:tcPr>
          <w:p w:rsidR="00911A71" w:rsidRDefault="00911A71" w:rsidP="00911A71">
            <w:r>
              <w:t>IRSA</w:t>
            </w:r>
          </w:p>
        </w:tc>
      </w:tr>
      <w:tr w:rsidR="00911A71" w:rsidRPr="00152C92" w:rsidTr="00255D4B">
        <w:tc>
          <w:tcPr>
            <w:tcW w:w="418" w:type="dxa"/>
          </w:tcPr>
          <w:p w:rsidR="00911A71" w:rsidRDefault="00911A71" w:rsidP="00885EBC">
            <w:r>
              <w:t>3</w:t>
            </w:r>
          </w:p>
        </w:tc>
        <w:tc>
          <w:tcPr>
            <w:tcW w:w="5651" w:type="dxa"/>
          </w:tcPr>
          <w:p w:rsidR="00911A71" w:rsidRPr="006E33C4" w:rsidRDefault="00911A71" w:rsidP="00911A71">
            <w:r w:rsidRPr="006E33C4">
              <w:t>Description of non-target screening approach</w:t>
            </w:r>
          </w:p>
        </w:tc>
        <w:tc>
          <w:tcPr>
            <w:tcW w:w="1728" w:type="dxa"/>
          </w:tcPr>
          <w:p w:rsidR="00911A71" w:rsidRDefault="00911A71" w:rsidP="00F15971">
            <w:r>
              <w:t>15.04.14</w:t>
            </w:r>
          </w:p>
        </w:tc>
        <w:tc>
          <w:tcPr>
            <w:tcW w:w="1701" w:type="dxa"/>
          </w:tcPr>
          <w:p w:rsidR="00911A71" w:rsidRDefault="00911A71" w:rsidP="00911A71">
            <w:r>
              <w:t>VERI</w:t>
            </w:r>
          </w:p>
        </w:tc>
      </w:tr>
      <w:tr w:rsidR="00911A71" w:rsidRPr="00152C92" w:rsidTr="00255D4B">
        <w:tc>
          <w:tcPr>
            <w:tcW w:w="418" w:type="dxa"/>
          </w:tcPr>
          <w:p w:rsidR="00911A71" w:rsidRDefault="00911A71" w:rsidP="00885EBC">
            <w:r>
              <w:t>4</w:t>
            </w:r>
          </w:p>
        </w:tc>
        <w:tc>
          <w:tcPr>
            <w:tcW w:w="5651" w:type="dxa"/>
          </w:tcPr>
          <w:p w:rsidR="00911A71" w:rsidRPr="00CA3FC5" w:rsidRDefault="00911A71" w:rsidP="00911A71">
            <w:r w:rsidRPr="00CA3FC5">
              <w:t xml:space="preserve">Description of effect-based bioassay and approaches for adapting them to compounds relevant in water reuse </w:t>
            </w:r>
          </w:p>
        </w:tc>
        <w:tc>
          <w:tcPr>
            <w:tcW w:w="1728" w:type="dxa"/>
          </w:tcPr>
          <w:p w:rsidR="00911A71" w:rsidRDefault="00911A71" w:rsidP="00F15971">
            <w:r>
              <w:t>15.04.14</w:t>
            </w:r>
          </w:p>
        </w:tc>
        <w:tc>
          <w:tcPr>
            <w:tcW w:w="1701" w:type="dxa"/>
          </w:tcPr>
          <w:p w:rsidR="00911A71" w:rsidRDefault="00911A71" w:rsidP="00031CAA">
            <w:r>
              <w:t>BioMoni</w:t>
            </w:r>
          </w:p>
        </w:tc>
      </w:tr>
      <w:tr w:rsidR="00911A71" w:rsidRPr="00152C92" w:rsidTr="00255D4B">
        <w:tc>
          <w:tcPr>
            <w:tcW w:w="418" w:type="dxa"/>
          </w:tcPr>
          <w:p w:rsidR="00911A71" w:rsidRDefault="00911A71" w:rsidP="00885EBC">
            <w:r>
              <w:t>5</w:t>
            </w:r>
          </w:p>
        </w:tc>
        <w:tc>
          <w:tcPr>
            <w:tcW w:w="5651" w:type="dxa"/>
          </w:tcPr>
          <w:p w:rsidR="00911A71" w:rsidRPr="00CA3FC5" w:rsidRDefault="00911A71" w:rsidP="00911A71">
            <w:r w:rsidRPr="00CA3FC5">
              <w:t>Provide schedule / scope of sampling and chemical analysis in Shafdan site</w:t>
            </w:r>
          </w:p>
        </w:tc>
        <w:tc>
          <w:tcPr>
            <w:tcW w:w="1728" w:type="dxa"/>
          </w:tcPr>
          <w:p w:rsidR="00911A71" w:rsidRDefault="00911A71" w:rsidP="00F15971">
            <w:r>
              <w:t>15.04</w:t>
            </w:r>
            <w:r w:rsidR="00F15971">
              <w:t>.</w:t>
            </w:r>
            <w:r>
              <w:t>14</w:t>
            </w:r>
          </w:p>
        </w:tc>
        <w:tc>
          <w:tcPr>
            <w:tcW w:w="1701" w:type="dxa"/>
          </w:tcPr>
          <w:p w:rsidR="00911A71" w:rsidRDefault="00911A71" w:rsidP="00911A71">
            <w:r>
              <w:t xml:space="preserve">Haim </w:t>
            </w:r>
            <w:r>
              <w:br/>
            </w:r>
            <w:r w:rsidR="00EA45BF">
              <w:t>(</w:t>
            </w:r>
            <w:r>
              <w:t>MEKOROT)</w:t>
            </w:r>
          </w:p>
        </w:tc>
      </w:tr>
      <w:tr w:rsidR="00671468" w:rsidRPr="00152C92" w:rsidTr="00255D4B">
        <w:tc>
          <w:tcPr>
            <w:tcW w:w="418" w:type="dxa"/>
          </w:tcPr>
          <w:p w:rsidR="00671468" w:rsidRDefault="00671468" w:rsidP="00EB1DDA">
            <w:r>
              <w:t>6</w:t>
            </w:r>
          </w:p>
        </w:tc>
        <w:tc>
          <w:tcPr>
            <w:tcW w:w="5651" w:type="dxa"/>
          </w:tcPr>
          <w:p w:rsidR="00671468" w:rsidRDefault="00671468" w:rsidP="00031CAA">
            <w:r w:rsidRPr="00C93C45">
              <w:t>Provide description of sensor technology and potential products to be used (CTM)</w:t>
            </w:r>
          </w:p>
        </w:tc>
        <w:tc>
          <w:tcPr>
            <w:tcW w:w="1728" w:type="dxa"/>
          </w:tcPr>
          <w:p w:rsidR="00671468" w:rsidRDefault="00671468" w:rsidP="00F15971">
            <w:r>
              <w:t>15.04.14</w:t>
            </w:r>
          </w:p>
        </w:tc>
        <w:tc>
          <w:tcPr>
            <w:tcW w:w="1701" w:type="dxa"/>
          </w:tcPr>
          <w:p w:rsidR="00671468" w:rsidRDefault="00671468" w:rsidP="00911A71">
            <w:r>
              <w:t>CTM</w:t>
            </w:r>
          </w:p>
        </w:tc>
      </w:tr>
      <w:tr w:rsidR="00671468" w:rsidRPr="00152C92" w:rsidTr="00255D4B">
        <w:tc>
          <w:tcPr>
            <w:tcW w:w="418" w:type="dxa"/>
          </w:tcPr>
          <w:p w:rsidR="00671468" w:rsidRDefault="00671468" w:rsidP="00EB1DDA">
            <w:r>
              <w:t>7</w:t>
            </w:r>
          </w:p>
        </w:tc>
        <w:tc>
          <w:tcPr>
            <w:tcW w:w="5651" w:type="dxa"/>
          </w:tcPr>
          <w:p w:rsidR="00671468" w:rsidRPr="00C93C45" w:rsidRDefault="00671468" w:rsidP="00911A71">
            <w:r>
              <w:t>Prepare review structure and literature collection</w:t>
            </w:r>
          </w:p>
        </w:tc>
        <w:tc>
          <w:tcPr>
            <w:tcW w:w="1728" w:type="dxa"/>
          </w:tcPr>
          <w:p w:rsidR="00671468" w:rsidRDefault="00671468" w:rsidP="00F15971">
            <w:r>
              <w:t>08.04.14</w:t>
            </w:r>
          </w:p>
        </w:tc>
        <w:tc>
          <w:tcPr>
            <w:tcW w:w="1701" w:type="dxa"/>
          </w:tcPr>
          <w:p w:rsidR="00671468" w:rsidRDefault="00671468" w:rsidP="00911A71">
            <w:r>
              <w:t>FHNW</w:t>
            </w:r>
          </w:p>
        </w:tc>
      </w:tr>
      <w:tr w:rsidR="00671468" w:rsidRPr="00152C92" w:rsidTr="00255D4B">
        <w:tc>
          <w:tcPr>
            <w:tcW w:w="418" w:type="dxa"/>
          </w:tcPr>
          <w:p w:rsidR="00671468" w:rsidRDefault="00671468" w:rsidP="00EB1DDA">
            <w:r>
              <w:t>8</w:t>
            </w:r>
          </w:p>
        </w:tc>
        <w:tc>
          <w:tcPr>
            <w:tcW w:w="5651" w:type="dxa"/>
          </w:tcPr>
          <w:p w:rsidR="00671468" w:rsidRPr="00C93C45" w:rsidRDefault="00671468" w:rsidP="00EA45BF">
            <w:r>
              <w:t>D</w:t>
            </w:r>
            <w:r w:rsidRPr="00EA45BF">
              <w:t>escribe experimental set-up, operational plan and r</w:t>
            </w:r>
            <w:r w:rsidRPr="00EA45BF">
              <w:t>e</w:t>
            </w:r>
            <w:r w:rsidRPr="00EA45BF">
              <w:t>lated monitoring strategy.</w:t>
            </w:r>
          </w:p>
        </w:tc>
        <w:tc>
          <w:tcPr>
            <w:tcW w:w="1728" w:type="dxa"/>
          </w:tcPr>
          <w:p w:rsidR="00671468" w:rsidRDefault="00671468" w:rsidP="00911A71">
            <w:r>
              <w:t>30.04.14</w:t>
            </w:r>
          </w:p>
        </w:tc>
        <w:tc>
          <w:tcPr>
            <w:tcW w:w="1701" w:type="dxa"/>
          </w:tcPr>
          <w:p w:rsidR="00671468" w:rsidRDefault="00671468" w:rsidP="00911A71">
            <w:r>
              <w:t>IRSA, Fiordelisi</w:t>
            </w:r>
          </w:p>
        </w:tc>
      </w:tr>
      <w:tr w:rsidR="00671468" w:rsidRPr="00152C92" w:rsidTr="00255D4B">
        <w:tc>
          <w:tcPr>
            <w:tcW w:w="418" w:type="dxa"/>
          </w:tcPr>
          <w:p w:rsidR="00671468" w:rsidRDefault="00671468" w:rsidP="00911A71">
            <w:r>
              <w:t>9</w:t>
            </w:r>
          </w:p>
        </w:tc>
        <w:tc>
          <w:tcPr>
            <w:tcW w:w="5651" w:type="dxa"/>
          </w:tcPr>
          <w:p w:rsidR="00671468" w:rsidRDefault="00671468" w:rsidP="00D37A43">
            <w:r>
              <w:t>Describe methods for biofilm analysis (if already avail</w:t>
            </w:r>
            <w:r>
              <w:t>a</w:t>
            </w:r>
            <w:r>
              <w:t>ble), Outline of experimental plan related to subtask 24.1</w:t>
            </w:r>
          </w:p>
        </w:tc>
        <w:tc>
          <w:tcPr>
            <w:tcW w:w="1728" w:type="dxa"/>
          </w:tcPr>
          <w:p w:rsidR="00671468" w:rsidRDefault="00671468" w:rsidP="00911A71">
            <w:r>
              <w:t>30.04.14</w:t>
            </w:r>
          </w:p>
        </w:tc>
        <w:tc>
          <w:tcPr>
            <w:tcW w:w="1701" w:type="dxa"/>
          </w:tcPr>
          <w:p w:rsidR="00671468" w:rsidRDefault="00671468" w:rsidP="00911A71">
            <w:r>
              <w:t>IRTA, CTM</w:t>
            </w:r>
          </w:p>
        </w:tc>
      </w:tr>
      <w:tr w:rsidR="00930160" w:rsidRPr="00152C92" w:rsidTr="001B1C4A">
        <w:tc>
          <w:tcPr>
            <w:tcW w:w="9498" w:type="dxa"/>
            <w:gridSpan w:val="4"/>
          </w:tcPr>
          <w:p w:rsidR="00930160" w:rsidRDefault="00930160" w:rsidP="00930160">
            <w:pPr>
              <w:pStyle w:val="Task"/>
              <w:spacing w:before="48" w:after="48"/>
            </w:pPr>
            <w:r>
              <w:rPr>
                <w:lang w:val="en-US"/>
              </w:rPr>
              <w:t>Please use the “</w:t>
            </w:r>
            <w:r>
              <w:rPr>
                <w:lang w:val="en-US"/>
              </w:rPr>
              <w:t>WP2 Report on background, internal planning and work pr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gress"-file</w:t>
            </w:r>
            <w:r>
              <w:rPr>
                <w:lang w:val="en-US"/>
              </w:rPr>
              <w:t xml:space="preserve"> to prepare your input!</w:t>
            </w:r>
            <w:bookmarkStart w:id="0" w:name="_GoBack"/>
            <w:bookmarkEnd w:id="0"/>
          </w:p>
        </w:tc>
      </w:tr>
    </w:tbl>
    <w:p w:rsidR="00C93C45" w:rsidRDefault="00C93C45" w:rsidP="00911A71">
      <w:r>
        <w:tab/>
      </w:r>
      <w:r>
        <w:tab/>
      </w:r>
      <w:r>
        <w:tab/>
      </w:r>
    </w:p>
    <w:p w:rsidR="002A1592" w:rsidRDefault="002A1592">
      <w:r>
        <w:br w:type="page"/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212C35" w:rsidRPr="00911A71" w:rsidTr="002A1592">
        <w:trPr>
          <w:tblHeader/>
        </w:trPr>
        <w:tc>
          <w:tcPr>
            <w:tcW w:w="6096" w:type="dxa"/>
          </w:tcPr>
          <w:p w:rsidR="00212C35" w:rsidRPr="00911A71" w:rsidRDefault="00212C35" w:rsidP="00240915">
            <w:pPr>
              <w:pStyle w:val="Heading"/>
            </w:pPr>
            <w:r w:rsidRPr="00911A71">
              <w:lastRenderedPageBreak/>
              <w:t>Report on WP2 break-out session</w:t>
            </w:r>
          </w:p>
        </w:tc>
        <w:tc>
          <w:tcPr>
            <w:tcW w:w="3402" w:type="dxa"/>
          </w:tcPr>
          <w:p w:rsidR="00212C35" w:rsidRPr="00911A71" w:rsidRDefault="00212C35" w:rsidP="00911A71">
            <w:pPr>
              <w:rPr>
                <w:sz w:val="32"/>
                <w:szCs w:val="32"/>
              </w:rPr>
            </w:pPr>
          </w:p>
        </w:tc>
      </w:tr>
      <w:tr w:rsidR="00212C35" w:rsidRPr="00471322" w:rsidTr="002A1592"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</w:tcPr>
          <w:p w:rsidR="00212C35" w:rsidRPr="00471322" w:rsidRDefault="00212C35" w:rsidP="002A1592">
            <w:pPr>
              <w:spacing w:afterLines="0" w:after="100" w:afterAutospacing="1"/>
            </w:pPr>
            <w:r w:rsidRPr="00471322">
              <w:t>Tasks / Item discussed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2C35" w:rsidRPr="00471322" w:rsidRDefault="00212C35" w:rsidP="002A1592">
            <w:pPr>
              <w:spacing w:afterLines="0" w:after="100" w:afterAutospacing="1"/>
            </w:pPr>
            <w:r w:rsidRPr="00471322">
              <w:t>Decisions / Responsibilities / due dates</w:t>
            </w:r>
          </w:p>
        </w:tc>
      </w:tr>
      <w:tr w:rsidR="00212C35" w:rsidRPr="00152C92" w:rsidTr="002A1592">
        <w:tc>
          <w:tcPr>
            <w:tcW w:w="6096" w:type="dxa"/>
            <w:tcBorders>
              <w:top w:val="single" w:sz="4" w:space="0" w:color="auto"/>
            </w:tcBorders>
          </w:tcPr>
          <w:p w:rsidR="00212C35" w:rsidRPr="00152C92" w:rsidRDefault="00212C35" w:rsidP="00911A71">
            <w:r>
              <w:t>Short tour of the table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2C35" w:rsidRPr="00152C92" w:rsidRDefault="00212C35" w:rsidP="00911A71">
            <w:r>
              <w:t>Update on contact persons and details (see attached EXCEL file)</w:t>
            </w:r>
          </w:p>
        </w:tc>
      </w:tr>
      <w:tr w:rsidR="00031CAA" w:rsidRPr="00031CAA" w:rsidTr="009A6A21">
        <w:tc>
          <w:tcPr>
            <w:tcW w:w="9498" w:type="dxa"/>
            <w:gridSpan w:val="2"/>
          </w:tcPr>
          <w:p w:rsidR="00031CAA" w:rsidRDefault="00031CAA" w:rsidP="00EA0353">
            <w:pPr>
              <w:pStyle w:val="Task"/>
              <w:spacing w:before="48" w:after="48"/>
            </w:pPr>
            <w:r w:rsidRPr="00031CAA">
              <w:t>Discussion of work planned in next up to 6 months per Task</w:t>
            </w:r>
          </w:p>
        </w:tc>
      </w:tr>
      <w:tr w:rsidR="00212C35" w:rsidRPr="00031CAA" w:rsidTr="00911A71">
        <w:tc>
          <w:tcPr>
            <w:tcW w:w="6096" w:type="dxa"/>
          </w:tcPr>
          <w:p w:rsidR="00031CAA" w:rsidRDefault="00031CAA" w:rsidP="00031CAA">
            <w:r>
              <w:t>General:</w:t>
            </w:r>
          </w:p>
          <w:p w:rsidR="00031CAA" w:rsidRPr="00031CAA" w:rsidRDefault="00031CAA" w:rsidP="00031CAA">
            <w:r>
              <w:t>The need/benefit to have transparency on methodologies, their capacity and context of application as starting point for project work is highlighted</w:t>
            </w:r>
            <w:r w:rsidR="00EA45BF">
              <w:t>. A summary of these approaches will anyhow be part of related deliverables.</w:t>
            </w:r>
          </w:p>
        </w:tc>
        <w:tc>
          <w:tcPr>
            <w:tcW w:w="3402" w:type="dxa"/>
          </w:tcPr>
          <w:p w:rsidR="005D110E" w:rsidRDefault="005D110E" w:rsidP="00031CAA"/>
          <w:p w:rsidR="00212C35" w:rsidRPr="00031CAA" w:rsidRDefault="00031CAA" w:rsidP="00031CAA">
            <w:r>
              <w:t>All technology provider or users in WP2 to compile technology description</w:t>
            </w:r>
          </w:p>
        </w:tc>
      </w:tr>
      <w:tr w:rsidR="00EA0353" w:rsidRPr="00152C92" w:rsidTr="001918FE">
        <w:tc>
          <w:tcPr>
            <w:tcW w:w="9498" w:type="dxa"/>
            <w:gridSpan w:val="2"/>
          </w:tcPr>
          <w:p w:rsidR="00EA0353" w:rsidRDefault="00EA0353" w:rsidP="00EA0353">
            <w:pPr>
              <w:pStyle w:val="Task"/>
              <w:spacing w:before="48" w:after="48"/>
            </w:pPr>
            <w:r w:rsidRPr="00471322">
              <w:t xml:space="preserve">Task 2.1 </w:t>
            </w:r>
            <w:r w:rsidRPr="00AB6C85">
              <w:t>Monitoring and control of microbiological parameters (M1-M30)</w:t>
            </w:r>
          </w:p>
        </w:tc>
      </w:tr>
      <w:tr w:rsidR="00212C35" w:rsidRPr="00152C92" w:rsidTr="00911A71">
        <w:tc>
          <w:tcPr>
            <w:tcW w:w="6096" w:type="dxa"/>
          </w:tcPr>
          <w:p w:rsidR="00233FF0" w:rsidRPr="00233FF0" w:rsidRDefault="00233FF0" w:rsidP="00233FF0">
            <w:pPr>
              <w:pStyle w:val="subtask"/>
              <w:rPr>
                <w:b/>
              </w:rPr>
            </w:pPr>
            <w:r w:rsidRPr="00233FF0">
              <w:t>Subtask 21.1 New techniques to assess disinfection pr</w:t>
            </w:r>
            <w:r w:rsidRPr="00233FF0">
              <w:t>o</w:t>
            </w:r>
            <w:r w:rsidRPr="00233FF0">
              <w:t>cesses (M1-M30)</w:t>
            </w:r>
          </w:p>
          <w:p w:rsidR="00212C35" w:rsidRPr="00152C92" w:rsidRDefault="00471322" w:rsidP="00911A71">
            <w:r>
              <w:t xml:space="preserve">Various approaches </w:t>
            </w:r>
            <w:r w:rsidR="00EA45BF">
              <w:t>of f</w:t>
            </w:r>
            <w:r w:rsidR="00212C35" w:rsidRPr="00152C92">
              <w:t>lowcytometry</w:t>
            </w:r>
            <w:r w:rsidR="00EA45BF">
              <w:t xml:space="preserve"> for detecting</w:t>
            </w:r>
            <w:r>
              <w:t xml:space="preserve"> will be tested b</w:t>
            </w:r>
            <w:r w:rsidR="005D110E">
              <w:t>y UCRAN and IRSA.</w:t>
            </w:r>
          </w:p>
          <w:p w:rsidR="00233FF0" w:rsidRPr="00152C92" w:rsidRDefault="00031CAA" w:rsidP="005D110E">
            <w:r>
              <w:t>BlueBio: s</w:t>
            </w:r>
            <w:r w:rsidR="00212C35">
              <w:t>ite involvement</w:t>
            </w:r>
            <w:r>
              <w:t xml:space="preserve"> for activities</w:t>
            </w:r>
            <w:r w:rsidR="00212C35">
              <w:t xml:space="preserve"> will majorly depend on ability to ship sam</w:t>
            </w:r>
            <w:r>
              <w:t>ples (conservation issue), thus activities will focus on Braunschweig site first</w:t>
            </w:r>
          </w:p>
        </w:tc>
        <w:tc>
          <w:tcPr>
            <w:tcW w:w="3402" w:type="dxa"/>
          </w:tcPr>
          <w:p w:rsidR="00212C35" w:rsidRPr="00152C92" w:rsidRDefault="00212C35" w:rsidP="00031CAA"/>
        </w:tc>
      </w:tr>
      <w:tr w:rsidR="00233FF0" w:rsidRPr="00152C92" w:rsidTr="00911A71">
        <w:tc>
          <w:tcPr>
            <w:tcW w:w="6096" w:type="dxa"/>
          </w:tcPr>
          <w:p w:rsidR="00233FF0" w:rsidRDefault="00233FF0" w:rsidP="00233FF0">
            <w:pPr>
              <w:pStyle w:val="subtask"/>
            </w:pPr>
            <w:r w:rsidRPr="00233FF0">
              <w:t>Subtask 21.2 Verifying the fate of microbial contaminants in agricultural irrigation schemes (M6-30)</w:t>
            </w:r>
          </w:p>
          <w:p w:rsidR="005D110E" w:rsidRPr="005D110E" w:rsidRDefault="00EA45BF" w:rsidP="005D110E">
            <w:r>
              <w:t>Which specific (new) technology will be applied here?</w:t>
            </w:r>
          </w:p>
        </w:tc>
        <w:tc>
          <w:tcPr>
            <w:tcW w:w="3402" w:type="dxa"/>
          </w:tcPr>
          <w:p w:rsidR="00233FF0" w:rsidRDefault="002A1592" w:rsidP="002A1592">
            <w:pPr>
              <w:pStyle w:val="subtask"/>
            </w:pPr>
            <w:r>
              <w:br/>
            </w:r>
          </w:p>
          <w:p w:rsidR="005D110E" w:rsidRDefault="005D110E" w:rsidP="00911A71">
            <w:r>
              <w:t xml:space="preserve">IRSA &amp; Fiordelisi </w:t>
            </w:r>
            <w:r w:rsidR="00EA45BF">
              <w:t>describe expe</w:t>
            </w:r>
            <w:r w:rsidR="00EA45BF">
              <w:t>r</w:t>
            </w:r>
            <w:r w:rsidR="00EA45BF">
              <w:t xml:space="preserve">imental </w:t>
            </w:r>
            <w:r>
              <w:t>set-up</w:t>
            </w:r>
            <w:r w:rsidR="00EA45BF">
              <w:t>, operational plan and related monitoring strategy.</w:t>
            </w:r>
          </w:p>
        </w:tc>
      </w:tr>
      <w:tr w:rsidR="00212C35" w:rsidRPr="00CE67F0" w:rsidTr="00911A71">
        <w:tc>
          <w:tcPr>
            <w:tcW w:w="9498" w:type="dxa"/>
            <w:gridSpan w:val="2"/>
          </w:tcPr>
          <w:p w:rsidR="00212C35" w:rsidRPr="00CE67F0" w:rsidRDefault="00212C35" w:rsidP="00EA0353">
            <w:pPr>
              <w:pStyle w:val="Task"/>
              <w:spacing w:before="48" w:after="48"/>
            </w:pPr>
            <w:r w:rsidRPr="00CE67F0">
              <w:t>Task 2.2 Monitoring and control of chemical contaminants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424F5A" w:rsidRDefault="00212C35" w:rsidP="00CE67F0">
            <w:pPr>
              <w:pStyle w:val="subtask"/>
            </w:pPr>
            <w:r w:rsidRPr="00424F5A">
              <w:t>Subtask 22.1 Establishing &amp; improving chemical fingerprin</w:t>
            </w:r>
            <w:r w:rsidRPr="00424F5A">
              <w:t>t</w:t>
            </w:r>
            <w:r w:rsidRPr="00424F5A">
              <w:t>ing  (M3-M30)</w:t>
            </w:r>
          </w:p>
          <w:p w:rsidR="00212C35" w:rsidRPr="00152C92" w:rsidRDefault="00212C35" w:rsidP="00911A71">
            <w:r>
              <w:t xml:space="preserve">VERI was not represented in the meeting, no content was discussed </w:t>
            </w:r>
          </w:p>
        </w:tc>
        <w:tc>
          <w:tcPr>
            <w:tcW w:w="3402" w:type="dxa"/>
          </w:tcPr>
          <w:p w:rsidR="00212C35" w:rsidRDefault="00212C35" w:rsidP="00911A71">
            <w:r w:rsidRPr="00152C92">
              <w:t>VERI</w:t>
            </w:r>
          </w:p>
          <w:p w:rsidR="00212C35" w:rsidRPr="00152C92" w:rsidRDefault="00212C35" w:rsidP="00911A71">
            <w:r w:rsidRPr="00152C92">
              <w:t>Description of non-target scree</w:t>
            </w:r>
            <w:r w:rsidRPr="00152C92">
              <w:t>n</w:t>
            </w:r>
            <w:r w:rsidRPr="00152C92">
              <w:t>ing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424F5A" w:rsidRDefault="00212C35" w:rsidP="00CE67F0">
            <w:pPr>
              <w:pStyle w:val="subtask"/>
            </w:pPr>
            <w:r w:rsidRPr="00424F5A">
              <w:t>Subtask 22.2 Effect-based assays for chemical contaminants detection (M3-M34)</w:t>
            </w:r>
          </w:p>
          <w:p w:rsidR="00212C35" w:rsidRDefault="00212C35" w:rsidP="00911A71">
            <w:r>
              <w:t>Biomonitech is to replace Checklight in this activity. Yet Bi</w:t>
            </w:r>
            <w:r>
              <w:t>o</w:t>
            </w:r>
            <w:r>
              <w:t>Moni is not yet validated as SME by the Commission se</w:t>
            </w:r>
            <w:r>
              <w:t>r</w:t>
            </w:r>
            <w:r>
              <w:t>vices. Until this issue has been settled, activities will be d</w:t>
            </w:r>
            <w:r>
              <w:t>e</w:t>
            </w:r>
            <w:r>
              <w:t>layed.</w:t>
            </w:r>
          </w:p>
          <w:p w:rsidR="00212C35" w:rsidRDefault="00212C35" w:rsidP="00911A71">
            <w:r>
              <w:t xml:space="preserve">More info is needed about the BMT system they operate. Monitoring could already start to verify whether effects can </w:t>
            </w:r>
            <w:r>
              <w:lastRenderedPageBreak/>
              <w:t>be detected.</w:t>
            </w:r>
          </w:p>
          <w:p w:rsidR="00212C35" w:rsidRPr="00152C92" w:rsidRDefault="00212C35" w:rsidP="00911A71">
            <w:r>
              <w:t>Effect-based monitoring must be accompanied by</w:t>
            </w:r>
            <w:r w:rsidRPr="00152C92">
              <w:t xml:space="preserve"> chemical analy</w:t>
            </w:r>
            <w:r>
              <w:t>sis of the tested water to be able to correlate both.</w:t>
            </w:r>
          </w:p>
        </w:tc>
        <w:tc>
          <w:tcPr>
            <w:tcW w:w="3402" w:type="dxa"/>
          </w:tcPr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>
            <w:r>
              <w:t xml:space="preserve">Provide schedule / scope of </w:t>
            </w:r>
            <w:r>
              <w:lastRenderedPageBreak/>
              <w:t>sampling and chemical analytic</w:t>
            </w:r>
          </w:p>
          <w:p w:rsidR="00212C35" w:rsidRPr="00152C92" w:rsidRDefault="00212C35" w:rsidP="00911A71">
            <w:r w:rsidRPr="00152C92">
              <w:t>Biomonitech / Haim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6D3D07" w:rsidRDefault="00212C35" w:rsidP="00911A71">
            <w:pPr>
              <w:pStyle w:val="subtask"/>
            </w:pPr>
            <w:r w:rsidRPr="006D3D07">
              <w:lastRenderedPageBreak/>
              <w:t>Subtask 22.3 Target compound fate (M9-M24)</w:t>
            </w:r>
          </w:p>
          <w:p w:rsidR="00212C35" w:rsidRPr="00152C92" w:rsidRDefault="00212C35" w:rsidP="00911A71">
            <w:r>
              <w:t>Task will only start later this year. No steps discussed now.</w:t>
            </w:r>
          </w:p>
        </w:tc>
        <w:tc>
          <w:tcPr>
            <w:tcW w:w="3402" w:type="dxa"/>
          </w:tcPr>
          <w:p w:rsidR="00212C35" w:rsidRPr="00152C92" w:rsidRDefault="00212C35" w:rsidP="00911A71"/>
        </w:tc>
      </w:tr>
      <w:tr w:rsidR="00212C35" w:rsidRPr="00152C92" w:rsidTr="00911A71">
        <w:tc>
          <w:tcPr>
            <w:tcW w:w="9498" w:type="dxa"/>
            <w:gridSpan w:val="2"/>
          </w:tcPr>
          <w:p w:rsidR="00212C35" w:rsidRPr="00CE67F0" w:rsidRDefault="00212C35" w:rsidP="00EA0353">
            <w:pPr>
              <w:pStyle w:val="Task"/>
              <w:spacing w:before="48" w:after="48"/>
            </w:pPr>
            <w:r w:rsidRPr="00CE67F0">
              <w:t>Task 2.3 Approaches for membrane integrity testing (M1-M30)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6D3D07" w:rsidRDefault="00212C35" w:rsidP="00911A71">
            <w:pPr>
              <w:pStyle w:val="subtask"/>
            </w:pPr>
            <w:r w:rsidRPr="006D3D07">
              <w:t>Subtask 23.1 Survey of technologies and techniques to mon</w:t>
            </w:r>
            <w:r w:rsidRPr="006D3D07">
              <w:t>i</w:t>
            </w:r>
            <w:r w:rsidRPr="006D3D07">
              <w:t>tor membrane integrity (M1-M6)</w:t>
            </w:r>
          </w:p>
        </w:tc>
        <w:tc>
          <w:tcPr>
            <w:tcW w:w="3402" w:type="dxa"/>
          </w:tcPr>
          <w:p w:rsidR="00212C35" w:rsidRPr="00152C92" w:rsidRDefault="00212C35" w:rsidP="00911A71"/>
        </w:tc>
      </w:tr>
      <w:tr w:rsidR="00212C35" w:rsidRPr="00152C92" w:rsidTr="00911A71">
        <w:tc>
          <w:tcPr>
            <w:tcW w:w="6096" w:type="dxa"/>
          </w:tcPr>
          <w:p w:rsidR="00212C35" w:rsidRDefault="00212C35" w:rsidP="00911A71">
            <w:r>
              <w:t>A literature review will be prepared by FHNW and DCI and support of DEMOWARE sites operating membrane schemes</w:t>
            </w:r>
          </w:p>
          <w:p w:rsidR="00212C35" w:rsidRDefault="00212C35" w:rsidP="00911A71">
            <w:pPr>
              <w:pStyle w:val="bulletedlist"/>
              <w:spacing w:before="48" w:after="48"/>
            </w:pPr>
            <w:r w:rsidRPr="00152C92">
              <w:t>Open a web</w:t>
            </w:r>
            <w:r>
              <w:t>-</w:t>
            </w:r>
            <w:r w:rsidRPr="00152C92">
              <w:t>based folder; literature collection</w:t>
            </w:r>
          </w:p>
          <w:p w:rsidR="00212C35" w:rsidRPr="00152C92" w:rsidRDefault="00212C35" w:rsidP="00911A71">
            <w:pPr>
              <w:pStyle w:val="bulletedlist"/>
              <w:spacing w:before="48" w:after="48"/>
            </w:pPr>
            <w:r>
              <w:t>Proposal for report structure</w:t>
            </w:r>
          </w:p>
          <w:p w:rsidR="00212C35" w:rsidRPr="00152C92" w:rsidRDefault="00212C35" w:rsidP="00911A71">
            <w:pPr>
              <w:pStyle w:val="bulletedlist"/>
              <w:spacing w:before="48" w:after="48"/>
            </w:pPr>
            <w:r w:rsidRPr="00152C92">
              <w:t xml:space="preserve">Selection of schemes for closer </w:t>
            </w:r>
            <w:r w:rsidRPr="00152C92">
              <w:rPr>
                <w:b/>
              </w:rPr>
              <w:t>survey</w:t>
            </w:r>
            <w:r w:rsidRPr="00152C92">
              <w:t xml:space="preserve"> (within the project)</w:t>
            </w:r>
          </w:p>
          <w:p w:rsidR="00212C35" w:rsidRPr="00152C92" w:rsidRDefault="00212C35" w:rsidP="00911A71">
            <w:pPr>
              <w:pStyle w:val="bulletedlist"/>
              <w:spacing w:before="48" w:after="48"/>
            </w:pPr>
            <w:r>
              <w:t>Task could be complemented by a m</w:t>
            </w:r>
            <w:r w:rsidRPr="00152C92">
              <w:t xml:space="preserve">eeting/Workshop on Integrity Monitoring in </w:t>
            </w:r>
            <w:r>
              <w:t>Water R</w:t>
            </w:r>
            <w:r w:rsidRPr="00152C92">
              <w:t xml:space="preserve">euse </w:t>
            </w:r>
            <w:r>
              <w:t>S</w:t>
            </w:r>
            <w:r w:rsidRPr="00152C92">
              <w:t>cheme</w:t>
            </w:r>
            <w:r>
              <w:t>s</w:t>
            </w:r>
          </w:p>
        </w:tc>
        <w:tc>
          <w:tcPr>
            <w:tcW w:w="3402" w:type="dxa"/>
          </w:tcPr>
          <w:p w:rsidR="002F2EE6" w:rsidRDefault="00911A71" w:rsidP="00911A71">
            <w:r>
              <w:br/>
            </w:r>
          </w:p>
          <w:p w:rsidR="00911A71" w:rsidRDefault="00911A71" w:rsidP="00911A71">
            <w:r w:rsidRPr="00152C92">
              <w:t>FHNW 1st week of April</w:t>
            </w:r>
            <w:r>
              <w:t>, check with Coordinator for internal area of the project website</w:t>
            </w:r>
          </w:p>
          <w:p w:rsidR="00212C35" w:rsidRPr="00152C92" w:rsidRDefault="00212C35" w:rsidP="002A1592">
            <w:pPr>
              <w:pStyle w:val="bulletedlist"/>
              <w:numPr>
                <w:ilvl w:val="0"/>
                <w:numId w:val="0"/>
              </w:numPr>
              <w:spacing w:before="48" w:after="48"/>
            </w:pPr>
          </w:p>
        </w:tc>
      </w:tr>
      <w:tr w:rsidR="00212C35" w:rsidRPr="00152C92" w:rsidTr="00911A71">
        <w:tc>
          <w:tcPr>
            <w:tcW w:w="6096" w:type="dxa"/>
          </w:tcPr>
          <w:p w:rsidR="00212C35" w:rsidRPr="008432BF" w:rsidRDefault="00212C35" w:rsidP="00911A71">
            <w:pPr>
              <w:pStyle w:val="subtask"/>
            </w:pPr>
            <w:r w:rsidRPr="006D3D07">
              <w:t>Subtask 23.2 New concepts for membrane integrity testing (M3-M30)</w:t>
            </w:r>
          </w:p>
        </w:tc>
        <w:tc>
          <w:tcPr>
            <w:tcW w:w="3402" w:type="dxa"/>
          </w:tcPr>
          <w:p w:rsidR="00212C35" w:rsidRPr="00152C92" w:rsidRDefault="00212C35" w:rsidP="00911A71">
            <w:r w:rsidRPr="00152C92">
              <w:t xml:space="preserve"> 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Default="00212C35" w:rsidP="00911A71">
            <w:r>
              <w:t xml:space="preserve">Partner Nanosight has to be replaced by a suitable company (SME) with competencies in particles monitoring/counting in the sub-micron range. </w:t>
            </w:r>
          </w:p>
          <w:p w:rsidR="00212C35" w:rsidRPr="00911A71" w:rsidRDefault="00212C35" w:rsidP="00911A71">
            <w:r w:rsidRPr="00911A71">
              <w:t>One candidate has been identified, Pamas is mentioned as another option. Noam refers to a company active in this area in Israel.</w:t>
            </w:r>
          </w:p>
        </w:tc>
        <w:tc>
          <w:tcPr>
            <w:tcW w:w="3402" w:type="dxa"/>
          </w:tcPr>
          <w:p w:rsidR="00212C35" w:rsidRDefault="00911A71" w:rsidP="00911A71">
            <w:r>
              <w:br/>
            </w:r>
            <w:r>
              <w:br/>
            </w:r>
          </w:p>
          <w:p w:rsidR="00212C35" w:rsidRPr="00152C92" w:rsidRDefault="00212C35" w:rsidP="00911A71">
            <w:r w:rsidRPr="00152C92">
              <w:t>Noam to send</w:t>
            </w:r>
            <w:r>
              <w:t xml:space="preserve"> info/ link</w:t>
            </w:r>
          </w:p>
        </w:tc>
      </w:tr>
      <w:tr w:rsidR="00212C35" w:rsidRPr="00152C92" w:rsidTr="00911A71">
        <w:tc>
          <w:tcPr>
            <w:tcW w:w="9498" w:type="dxa"/>
            <w:gridSpan w:val="2"/>
          </w:tcPr>
          <w:p w:rsidR="00212C35" w:rsidRPr="00CE67F0" w:rsidRDefault="00212C35" w:rsidP="00EA0353">
            <w:pPr>
              <w:pStyle w:val="Task"/>
              <w:spacing w:before="48" w:after="48"/>
            </w:pPr>
            <w:r w:rsidRPr="00CE67F0">
              <w:t>Task 2.4 Application of electrochemical sensors for optimised distribution network ope</w:t>
            </w:r>
            <w:r w:rsidRPr="00CE67F0">
              <w:t>r</w:t>
            </w:r>
            <w:r w:rsidRPr="00CE67F0">
              <w:t>ation (M1-M30)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BF66FC" w:rsidRDefault="00212C35" w:rsidP="00911A71">
            <w:pPr>
              <w:rPr>
                <w:lang w:val="en-US"/>
              </w:rPr>
            </w:pPr>
            <w:r>
              <w:rPr>
                <w:lang w:val="en-US"/>
              </w:rPr>
              <w:t xml:space="preserve">Core technology used in this task is a </w:t>
            </w:r>
            <w:r w:rsidRPr="00C93C45">
              <w:rPr>
                <w:b/>
                <w:lang w:val="en-US"/>
              </w:rPr>
              <w:t>sensor</w:t>
            </w:r>
            <w:r>
              <w:rPr>
                <w:lang w:val="en-US"/>
              </w:rPr>
              <w:t xml:space="preserve"> for biofilm fo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mation. Sensor not yet finally selected</w:t>
            </w:r>
          </w:p>
        </w:tc>
        <w:tc>
          <w:tcPr>
            <w:tcW w:w="3402" w:type="dxa"/>
          </w:tcPr>
          <w:p w:rsidR="00212C35" w:rsidRPr="00152C92" w:rsidRDefault="00212C35" w:rsidP="00911A71">
            <w:r>
              <w:t>Provide sensor description of technology and potential pro</w:t>
            </w:r>
            <w:r>
              <w:t>d</w:t>
            </w:r>
            <w:r>
              <w:t>ucts to b e used (CTM)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152C92" w:rsidRDefault="00212C35" w:rsidP="00911A71">
            <w:pPr>
              <w:pStyle w:val="subtask"/>
            </w:pPr>
            <w:r w:rsidRPr="00BF66FC">
              <w:rPr>
                <w:lang w:val="en-US"/>
              </w:rPr>
              <w:t>Subtask 24.1 Reduction of clogging in agricultural irrigation networks (M1-M24)</w:t>
            </w:r>
          </w:p>
        </w:tc>
        <w:tc>
          <w:tcPr>
            <w:tcW w:w="3402" w:type="dxa"/>
          </w:tcPr>
          <w:p w:rsidR="00212C35" w:rsidRPr="00152C92" w:rsidRDefault="00212C35" w:rsidP="00911A71">
            <w:pPr>
              <w:pStyle w:val="subtask"/>
            </w:pPr>
          </w:p>
        </w:tc>
      </w:tr>
      <w:tr w:rsidR="00212C35" w:rsidRPr="00152C92" w:rsidTr="00911A71">
        <w:tc>
          <w:tcPr>
            <w:tcW w:w="6096" w:type="dxa"/>
          </w:tcPr>
          <w:p w:rsidR="00212C35" w:rsidRPr="00BF66FC" w:rsidRDefault="00212C35" w:rsidP="00911A71">
            <w:pPr>
              <w:rPr>
                <w:lang w:val="en-US"/>
              </w:rPr>
            </w:pPr>
            <w:r w:rsidRPr="00152C92">
              <w:t>Dripper clogging</w:t>
            </w:r>
            <w:r>
              <w:t xml:space="preserve"> in irrigation systems is an issue requiring corrective action. Acidification of irrigation water by acid do</w:t>
            </w:r>
            <w:r>
              <w:t>s</w:t>
            </w:r>
            <w:r>
              <w:t xml:space="preserve">ing is common practice in the Mediterranean. This task will </w:t>
            </w:r>
            <w:r>
              <w:lastRenderedPageBreak/>
              <w:t>investigate the applicability of</w:t>
            </w:r>
            <w:r w:rsidRPr="00152C92">
              <w:t xml:space="preserve"> CO</w:t>
            </w:r>
            <w:r w:rsidRPr="00152C92">
              <w:rPr>
                <w:vertAlign w:val="subscript"/>
              </w:rPr>
              <w:t>2</w:t>
            </w:r>
            <w:r>
              <w:t xml:space="preserve"> to lower the pH.</w:t>
            </w:r>
          </w:p>
        </w:tc>
        <w:tc>
          <w:tcPr>
            <w:tcW w:w="3402" w:type="dxa"/>
          </w:tcPr>
          <w:p w:rsidR="00212C35" w:rsidRDefault="00212C35" w:rsidP="00911A71">
            <w:pPr>
              <w:pStyle w:val="bulletedlist"/>
              <w:spacing w:before="48" w:after="48"/>
            </w:pPr>
            <w:r w:rsidRPr="00152C92">
              <w:lastRenderedPageBreak/>
              <w:t xml:space="preserve">IRTA, CTM </w:t>
            </w:r>
          </w:p>
          <w:p w:rsidR="00212C35" w:rsidRDefault="00212C35" w:rsidP="00911A71">
            <w:pPr>
              <w:pStyle w:val="bulletedlist"/>
              <w:spacing w:before="48" w:after="48"/>
            </w:pPr>
            <w:r>
              <w:t>Describe methods for b</w:t>
            </w:r>
            <w:r w:rsidRPr="00152C92">
              <w:t>iofilm analysis</w:t>
            </w:r>
            <w:r>
              <w:t xml:space="preserve"> (if already available) </w:t>
            </w:r>
          </w:p>
          <w:p w:rsidR="00212C35" w:rsidRPr="00152C92" w:rsidRDefault="00212C35" w:rsidP="00911A71">
            <w:pPr>
              <w:pStyle w:val="bulletedlist"/>
              <w:spacing w:before="48" w:after="48"/>
            </w:pPr>
            <w:r w:rsidRPr="00152C92">
              <w:lastRenderedPageBreak/>
              <w:t>Outline of experimental plan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152C92" w:rsidRDefault="00212C35" w:rsidP="00911A71">
            <w:pPr>
              <w:pStyle w:val="subtask"/>
            </w:pPr>
            <w:r w:rsidRPr="00BF66FC">
              <w:rPr>
                <w:lang w:val="en-US"/>
              </w:rPr>
              <w:lastRenderedPageBreak/>
              <w:t>Subtask 24.2 Adjustable maintenance strategies in distrib</w:t>
            </w:r>
            <w:r w:rsidRPr="00BF66FC">
              <w:rPr>
                <w:lang w:val="en-US"/>
              </w:rPr>
              <w:t>u</w:t>
            </w:r>
            <w:r w:rsidRPr="00BF66FC">
              <w:rPr>
                <w:lang w:val="en-US"/>
              </w:rPr>
              <w:t>tion networks for urban applications (M6-M30)</w:t>
            </w:r>
          </w:p>
        </w:tc>
        <w:tc>
          <w:tcPr>
            <w:tcW w:w="3402" w:type="dxa"/>
          </w:tcPr>
          <w:p w:rsidR="00212C35" w:rsidRPr="00152C92" w:rsidRDefault="00212C35" w:rsidP="00911A71">
            <w:pPr>
              <w:pStyle w:val="subtask"/>
            </w:pPr>
          </w:p>
        </w:tc>
      </w:tr>
      <w:tr w:rsidR="00212C35" w:rsidRPr="00152C92" w:rsidTr="00911A71">
        <w:tc>
          <w:tcPr>
            <w:tcW w:w="6096" w:type="dxa"/>
          </w:tcPr>
          <w:p w:rsidR="00212C35" w:rsidRDefault="00212C35" w:rsidP="00911A71">
            <w:r>
              <w:t>Objective: Observation of b</w:t>
            </w:r>
            <w:r w:rsidRPr="00152C92">
              <w:t>iofilm formation</w:t>
            </w:r>
            <w:r>
              <w:t xml:space="preserve"> and its characte</w:t>
            </w:r>
            <w:r>
              <w:t>r</w:t>
            </w:r>
            <w:r>
              <w:t>isation</w:t>
            </w:r>
          </w:p>
          <w:p w:rsidR="00212C35" w:rsidRDefault="00212C35" w:rsidP="00911A71">
            <w:pPr>
              <w:pStyle w:val="bulletedlist"/>
              <w:numPr>
                <w:ilvl w:val="0"/>
                <w:numId w:val="31"/>
              </w:numPr>
              <w:spacing w:before="48" w:after="48"/>
            </w:pPr>
            <w:r>
              <w:t xml:space="preserve">By an </w:t>
            </w:r>
            <w:r w:rsidRPr="00152C92">
              <w:t>electrochemical sensor</w:t>
            </w:r>
          </w:p>
          <w:p w:rsidR="00212C35" w:rsidRDefault="00212C35" w:rsidP="00911A71">
            <w:pPr>
              <w:pStyle w:val="bulletedlist"/>
              <w:numPr>
                <w:ilvl w:val="0"/>
                <w:numId w:val="31"/>
              </w:numPr>
              <w:spacing w:before="48" w:after="48"/>
            </w:pPr>
            <w:r w:rsidRPr="00152C92">
              <w:t xml:space="preserve">Different piping materials, </w:t>
            </w:r>
          </w:p>
          <w:p w:rsidR="00212C35" w:rsidRDefault="00212C35" w:rsidP="00911A71">
            <w:pPr>
              <w:pStyle w:val="bulletedlist"/>
              <w:numPr>
                <w:ilvl w:val="0"/>
                <w:numId w:val="31"/>
              </w:numPr>
              <w:spacing w:before="48" w:after="48"/>
            </w:pPr>
            <w:r>
              <w:t>Depending on different treatment levels</w:t>
            </w:r>
          </w:p>
          <w:p w:rsidR="00212C35" w:rsidRDefault="00212C35" w:rsidP="00911A71"/>
          <w:p w:rsidR="00212C35" w:rsidRDefault="00212C35" w:rsidP="00911A71">
            <w:r>
              <w:t>Ad a) product needs to be defined and lab-tested. Rotec has a</w:t>
            </w:r>
            <w:r w:rsidRPr="00152C92">
              <w:t xml:space="preserve"> working prototype </w:t>
            </w:r>
            <w:r>
              <w:t xml:space="preserve">based </w:t>
            </w:r>
            <w:r w:rsidRPr="00152C92">
              <w:t>on ultrasound</w:t>
            </w:r>
            <w:r>
              <w:t>. Might be worth considering, too.</w:t>
            </w:r>
          </w:p>
          <w:p w:rsidR="00212C35" w:rsidRDefault="00212C35" w:rsidP="00911A71">
            <w:r>
              <w:t xml:space="preserve">Ad b) </w:t>
            </w:r>
            <w:r w:rsidRPr="00152C92">
              <w:t>Blue</w:t>
            </w:r>
            <w:r>
              <w:t>B</w:t>
            </w:r>
            <w:r w:rsidRPr="00152C92">
              <w:t>io</w:t>
            </w:r>
            <w:r>
              <w:t xml:space="preserve"> points out that </w:t>
            </w:r>
            <w:r w:rsidRPr="00152C92">
              <w:t>comparative studies in d</w:t>
            </w:r>
            <w:r>
              <w:t xml:space="preserve">rinking water </w:t>
            </w:r>
            <w:r w:rsidRPr="00152C92">
              <w:t>networks</w:t>
            </w:r>
            <w:r>
              <w:t xml:space="preserve"> showed that some plastics might </w:t>
            </w:r>
            <w:r w:rsidRPr="00152C92">
              <w:t>contribute to COD</w:t>
            </w:r>
            <w:r>
              <w:t xml:space="preserve"> in water and subsequent regrowth. Yet in </w:t>
            </w:r>
            <w:r w:rsidRPr="00152C92">
              <w:t>treated wastewater</w:t>
            </w:r>
            <w:r>
              <w:t xml:space="preserve"> COD from pipes might be not relevant given the residual COD.</w:t>
            </w:r>
          </w:p>
          <w:p w:rsidR="00212C35" w:rsidRPr="00152C92" w:rsidRDefault="00212C35" w:rsidP="00911A71">
            <w:r>
              <w:t>Ad c) A t</w:t>
            </w:r>
            <w:r w:rsidRPr="00152C92">
              <w:t>est-stand for distribution network (materials, oper</w:t>
            </w:r>
            <w:r w:rsidRPr="00152C92">
              <w:t>a</w:t>
            </w:r>
            <w:r w:rsidRPr="00152C92">
              <w:t>tional – flow rates</w:t>
            </w:r>
            <w:r>
              <w:t>)</w:t>
            </w:r>
            <w:r w:rsidRPr="00152C92">
              <w:t xml:space="preserve"> …; </w:t>
            </w:r>
            <w:r>
              <w:t xml:space="preserve">should be considered by CTM, to be establishe </w:t>
            </w:r>
            <w:r w:rsidRPr="00152C92">
              <w:t>preferably on Sabadell site</w:t>
            </w:r>
            <w:r>
              <w:t xml:space="preserve"> to allow continuous operation with real reclaimed water.</w:t>
            </w:r>
          </w:p>
        </w:tc>
        <w:tc>
          <w:tcPr>
            <w:tcW w:w="3402" w:type="dxa"/>
          </w:tcPr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Default="00212C35" w:rsidP="00911A71"/>
          <w:p w:rsidR="00212C35" w:rsidRPr="00152C92" w:rsidRDefault="00212C35" w:rsidP="00911A71">
            <w:r>
              <w:t xml:space="preserve">CTM - </w:t>
            </w:r>
            <w:r w:rsidRPr="00152C92">
              <w:t>Consult literature</w:t>
            </w:r>
            <w:r>
              <w:t xml:space="preserve"> about similar studies / set-ups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152C92" w:rsidRDefault="00212C35" w:rsidP="00911A71">
            <w:r>
              <w:t>It was mentioned that subtask 24.1 is more focused on ope</w:t>
            </w:r>
            <w:r>
              <w:t>r</w:t>
            </w:r>
            <w:r>
              <w:t>ational aspects, whilst in subtask 24.2 the health aspect for urban application may be on the forefront (in preparation for task 2.5) – regrowth of pathogens.</w:t>
            </w:r>
          </w:p>
        </w:tc>
        <w:tc>
          <w:tcPr>
            <w:tcW w:w="3402" w:type="dxa"/>
          </w:tcPr>
          <w:p w:rsidR="00212C35" w:rsidRPr="00152C92" w:rsidRDefault="00212C35" w:rsidP="00911A71"/>
        </w:tc>
      </w:tr>
      <w:tr w:rsidR="00212C35" w:rsidRPr="00CE67F0" w:rsidTr="00911A71">
        <w:tc>
          <w:tcPr>
            <w:tcW w:w="9498" w:type="dxa"/>
            <w:gridSpan w:val="2"/>
          </w:tcPr>
          <w:p w:rsidR="00212C35" w:rsidRPr="00CE67F0" w:rsidRDefault="00212C35" w:rsidP="002A1592">
            <w:pPr>
              <w:pStyle w:val="Task"/>
              <w:spacing w:before="48" w:after="48"/>
            </w:pPr>
            <w:r w:rsidRPr="00CE67F0">
              <w:t>Task 2.5 Operational risk reduction and control through failure management (M18-M30)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BF66FC" w:rsidRDefault="00212C35" w:rsidP="00911A71">
            <w:r>
              <w:t>Task will only start in M18. No steps discussed now.</w:t>
            </w:r>
          </w:p>
        </w:tc>
        <w:tc>
          <w:tcPr>
            <w:tcW w:w="3402" w:type="dxa"/>
          </w:tcPr>
          <w:p w:rsidR="00212C35" w:rsidRPr="00152C92" w:rsidRDefault="00212C35" w:rsidP="00911A71"/>
        </w:tc>
      </w:tr>
      <w:tr w:rsidR="00212C35" w:rsidRPr="00CE67F0" w:rsidTr="00911A71">
        <w:tc>
          <w:tcPr>
            <w:tcW w:w="9498" w:type="dxa"/>
            <w:gridSpan w:val="2"/>
          </w:tcPr>
          <w:p w:rsidR="00212C35" w:rsidRPr="00CE67F0" w:rsidRDefault="00212C35" w:rsidP="002A1592">
            <w:pPr>
              <w:pStyle w:val="Task"/>
              <w:spacing w:before="48" w:after="48"/>
            </w:pPr>
            <w:r w:rsidRPr="00CE67F0">
              <w:t>Task 2.6 Guideline developments for process monitoring and performance control (M24-M36)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Pr="00BF66FC" w:rsidRDefault="00212C35" w:rsidP="00911A71">
            <w:pPr>
              <w:rPr>
                <w:b/>
                <w:bCs/>
                <w:lang w:val="en-US"/>
              </w:rPr>
            </w:pPr>
            <w:r>
              <w:t>Task will only start in M24. No steps discussed now.</w:t>
            </w:r>
          </w:p>
        </w:tc>
        <w:tc>
          <w:tcPr>
            <w:tcW w:w="3402" w:type="dxa"/>
          </w:tcPr>
          <w:p w:rsidR="00212C35" w:rsidRPr="00152C92" w:rsidRDefault="00212C35" w:rsidP="00911A71"/>
        </w:tc>
      </w:tr>
      <w:tr w:rsidR="00212C35" w:rsidRPr="00CE67F0" w:rsidTr="00911A71">
        <w:tc>
          <w:tcPr>
            <w:tcW w:w="6096" w:type="dxa"/>
          </w:tcPr>
          <w:p w:rsidR="00212C35" w:rsidRPr="00CE67F0" w:rsidRDefault="00212C35" w:rsidP="00EA0353">
            <w:pPr>
              <w:pStyle w:val="Task"/>
              <w:spacing w:before="48" w:after="48"/>
            </w:pPr>
            <w:r w:rsidRPr="00CE67F0">
              <w:t>Other aspects discussed</w:t>
            </w:r>
          </w:p>
        </w:tc>
        <w:tc>
          <w:tcPr>
            <w:tcW w:w="3402" w:type="dxa"/>
          </w:tcPr>
          <w:p w:rsidR="00212C35" w:rsidRPr="00CE67F0" w:rsidRDefault="00212C35" w:rsidP="00EA0353">
            <w:pPr>
              <w:pStyle w:val="Task"/>
              <w:spacing w:before="48" w:after="48"/>
            </w:pPr>
          </w:p>
        </w:tc>
      </w:tr>
      <w:tr w:rsidR="00212C35" w:rsidRPr="00152C92" w:rsidTr="00911A71">
        <w:tc>
          <w:tcPr>
            <w:tcW w:w="6096" w:type="dxa"/>
          </w:tcPr>
          <w:p w:rsidR="00212C35" w:rsidRDefault="00212C35" w:rsidP="00911A71">
            <w:pPr>
              <w:pStyle w:val="subtask"/>
            </w:pPr>
            <w:r>
              <w:t>Sites:</w:t>
            </w:r>
          </w:p>
          <w:p w:rsidR="00212C35" w:rsidRDefault="00212C35" w:rsidP="00911A71">
            <w:r>
              <w:t>Depending on type of site (intended reuse) different water quality paramete</w:t>
            </w:r>
            <w:r w:rsidR="002F2EE6">
              <w:t>rs/aspects</w:t>
            </w:r>
            <w:r>
              <w:t xml:space="preserve"> will be relevant. E.g. the </w:t>
            </w:r>
            <w:r w:rsidRPr="00152C92">
              <w:t xml:space="preserve">Spanish </w:t>
            </w:r>
            <w:r w:rsidRPr="00152C92">
              <w:lastRenderedPageBreak/>
              <w:t>regulation</w:t>
            </w:r>
            <w:r>
              <w:t xml:space="preserve"> has stringent limt values and monitoring requir</w:t>
            </w:r>
            <w:r>
              <w:t>e</w:t>
            </w:r>
            <w:r>
              <w:t xml:space="preserve">ments for </w:t>
            </w:r>
            <w:r w:rsidRPr="00152C92">
              <w:t>Legionella</w:t>
            </w:r>
            <w:r>
              <w:t xml:space="preserve"> for water reuse in cooling towers.</w:t>
            </w:r>
            <w:r w:rsidR="002F2EE6">
              <w:t xml:space="preserve"> Same for Salmonella in the Italian regulation (irrigation)</w:t>
            </w:r>
          </w:p>
          <w:p w:rsidR="00212C35" w:rsidRDefault="00212C35" w:rsidP="00911A71">
            <w:r>
              <w:t>Opportunity to develop some monitoring devices for BlueBio?</w:t>
            </w:r>
          </w:p>
          <w:p w:rsidR="00212C35" w:rsidRPr="00152C92" w:rsidRDefault="002F2EE6" w:rsidP="00911A71">
            <w:r>
              <w:t xml:space="preserve">e.g. </w:t>
            </w:r>
            <w:r w:rsidR="00212C35" w:rsidRPr="00152C92">
              <w:t>Set-up</w:t>
            </w:r>
            <w:r>
              <w:t xml:space="preserve"> for screening of high volumes which would e</w:t>
            </w:r>
            <w:r>
              <w:t>n</w:t>
            </w:r>
            <w:r>
              <w:t>hance representative sampling</w:t>
            </w:r>
          </w:p>
          <w:p w:rsidR="00212C35" w:rsidRPr="00152C92" w:rsidRDefault="00212C35" w:rsidP="00911A71">
            <w:r w:rsidRPr="00152C92">
              <w:t>qPCR for presence of Legionella</w:t>
            </w:r>
            <w:r w:rsidR="002F2EE6">
              <w:t xml:space="preserve"> (already commercially available?)</w:t>
            </w:r>
          </w:p>
        </w:tc>
        <w:tc>
          <w:tcPr>
            <w:tcW w:w="3402" w:type="dxa"/>
          </w:tcPr>
          <w:p w:rsidR="00212C35" w:rsidRDefault="00212C35" w:rsidP="00185638">
            <w:pPr>
              <w:pStyle w:val="subtask"/>
            </w:pPr>
          </w:p>
          <w:p w:rsidR="00212C35" w:rsidRPr="00152C92" w:rsidRDefault="00185638" w:rsidP="00185638">
            <w:r>
              <w:br/>
            </w:r>
            <w:r>
              <w:br/>
            </w:r>
            <w:r w:rsidR="00212C35">
              <w:lastRenderedPageBreak/>
              <w:t>To be discussed further on bila</w:t>
            </w:r>
            <w:r w:rsidR="00212C35">
              <w:t>t</w:t>
            </w:r>
            <w:r w:rsidR="00212C35">
              <w:t>eral meeting with DCI and FHNW</w:t>
            </w:r>
          </w:p>
        </w:tc>
      </w:tr>
      <w:tr w:rsidR="00212C35" w:rsidRPr="00152C92" w:rsidTr="00911A71">
        <w:tc>
          <w:tcPr>
            <w:tcW w:w="6096" w:type="dxa"/>
          </w:tcPr>
          <w:p w:rsidR="00212C35" w:rsidRDefault="00212C35" w:rsidP="00911A71">
            <w:pPr>
              <w:pStyle w:val="subtask"/>
            </w:pPr>
            <w:r>
              <w:lastRenderedPageBreak/>
              <w:t>Technologies:</w:t>
            </w:r>
          </w:p>
          <w:p w:rsidR="00212C35" w:rsidRPr="00152C92" w:rsidRDefault="00212C35" w:rsidP="00911A71">
            <w:r w:rsidRPr="00152C92">
              <w:t>Possibilities to involve in WP2 activities new technologies that have not been explicitly mentioned in the DoW.</w:t>
            </w:r>
          </w:p>
        </w:tc>
        <w:tc>
          <w:tcPr>
            <w:tcW w:w="3402" w:type="dxa"/>
          </w:tcPr>
          <w:p w:rsidR="00212C35" w:rsidRPr="00152C92" w:rsidRDefault="00212C35" w:rsidP="00911A71"/>
        </w:tc>
      </w:tr>
      <w:tr w:rsidR="00212C35" w:rsidRPr="00152C92" w:rsidTr="00911A71">
        <w:tc>
          <w:tcPr>
            <w:tcW w:w="6096" w:type="dxa"/>
          </w:tcPr>
          <w:p w:rsidR="00212C35" w:rsidRDefault="00212C35" w:rsidP="00911A71">
            <w:pPr>
              <w:pStyle w:val="subtask"/>
            </w:pPr>
            <w:r>
              <w:t>Next meetings</w:t>
            </w:r>
          </w:p>
          <w:p w:rsidR="00212C35" w:rsidRDefault="00212C35" w:rsidP="00911A71">
            <w:r>
              <w:t>Bilateral meeting FHNW and DCI on Task 2.3 in June 2014 in Tarragona.</w:t>
            </w:r>
          </w:p>
          <w:p w:rsidR="00212C35" w:rsidRPr="00A21CA3" w:rsidRDefault="00212C35" w:rsidP="00911A71">
            <w:r>
              <w:t>Check options to extend to WP2 meeting at least with Spa</w:t>
            </w:r>
            <w:r>
              <w:t>n</w:t>
            </w:r>
            <w:r>
              <w:t>ish partners</w:t>
            </w:r>
          </w:p>
        </w:tc>
        <w:tc>
          <w:tcPr>
            <w:tcW w:w="3402" w:type="dxa"/>
          </w:tcPr>
          <w:p w:rsidR="00212C35" w:rsidRDefault="00212C35" w:rsidP="00911A71"/>
          <w:p w:rsidR="00212C35" w:rsidRDefault="00212C35" w:rsidP="00911A71"/>
          <w:p w:rsidR="00212C35" w:rsidRPr="00152C92" w:rsidRDefault="00212C35" w:rsidP="00911A71">
            <w:r>
              <w:t>FHNW to check with DCI and partners</w:t>
            </w:r>
          </w:p>
        </w:tc>
      </w:tr>
    </w:tbl>
    <w:p w:rsidR="00DE06A6" w:rsidRPr="00152C92" w:rsidRDefault="00DE06A6" w:rsidP="00911A71"/>
    <w:sectPr w:rsidR="00DE06A6" w:rsidRPr="00152C92" w:rsidSect="00DC5B31">
      <w:headerReference w:type="default" r:id="rId11"/>
      <w:footerReference w:type="default" r:id="rId12"/>
      <w:headerReference w:type="first" r:id="rId13"/>
      <w:pgSz w:w="11906" w:h="16838" w:code="9"/>
      <w:pgMar w:top="1134" w:right="1134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5A" w:rsidRDefault="00841A5A" w:rsidP="00911A71">
      <w:r>
        <w:separator/>
      </w:r>
    </w:p>
  </w:endnote>
  <w:endnote w:type="continuationSeparator" w:id="0">
    <w:p w:rsidR="00841A5A" w:rsidRDefault="00841A5A" w:rsidP="0091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ignes Regular">
    <w:panose1 w:val="02000506040000020004"/>
    <w:charset w:val="00"/>
    <w:family w:val="auto"/>
    <w:pitch w:val="variable"/>
    <w:sig w:usb0="80000027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33" w:rsidRPr="00453433" w:rsidRDefault="00453433" w:rsidP="00CE67F0">
    <w:pPr>
      <w:pStyle w:val="Fuzeile1"/>
    </w:pPr>
    <w:r w:rsidRPr="00453433">
      <w:t>WP2 Minutes of Break-out Session</w:t>
    </w:r>
  </w:p>
  <w:p w:rsidR="00453433" w:rsidRPr="00453433" w:rsidRDefault="00453433" w:rsidP="00CE67F0">
    <w:pPr>
      <w:pStyle w:val="Fuzeile1"/>
    </w:pPr>
    <w:r w:rsidRPr="00453433">
      <w:t>Kick-off meeting 12-13 March 2014, Manresa, Spain</w:t>
    </w:r>
    <w:r w:rsidRPr="00453433">
      <w:tab/>
    </w:r>
    <w:sdt>
      <w:sdtPr>
        <w:id w:val="-1965039226"/>
        <w:docPartObj>
          <w:docPartGallery w:val="Page Numbers (Bottom of Page)"/>
          <w:docPartUnique/>
        </w:docPartObj>
      </w:sdtPr>
      <w:sdtEndPr/>
      <w:sdtContent>
        <w:r w:rsidRPr="00453433">
          <w:fldChar w:fldCharType="begin"/>
        </w:r>
        <w:r w:rsidRPr="00453433">
          <w:instrText>PAGE   \* MERGEFORMAT</w:instrText>
        </w:r>
        <w:r w:rsidRPr="00453433">
          <w:fldChar w:fldCharType="separate"/>
        </w:r>
        <w:r w:rsidR="00930160" w:rsidRPr="00930160">
          <w:rPr>
            <w:noProof/>
            <w:lang w:val="de-DE"/>
          </w:rPr>
          <w:t>2</w:t>
        </w:r>
        <w:r w:rsidRPr="0045343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5A" w:rsidRPr="00ED0D02" w:rsidRDefault="00841A5A" w:rsidP="00911A71">
      <w:pPr>
        <w:pStyle w:val="Fuzeile"/>
      </w:pPr>
    </w:p>
  </w:footnote>
  <w:footnote w:type="continuationSeparator" w:id="0">
    <w:p w:rsidR="00841A5A" w:rsidRDefault="00841A5A" w:rsidP="0091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C0" w:rsidRDefault="00577CC6" w:rsidP="00961659">
    <w:pPr>
      <w:pStyle w:val="Kopfzeile"/>
      <w:ind w:left="-567"/>
    </w:pPr>
    <w:r w:rsidRPr="00577CC6">
      <w:rPr>
        <w:noProof/>
        <w:lang w:val="de-CH"/>
      </w:rPr>
      <w:drawing>
        <wp:inline distT="0" distB="0" distL="0" distR="0" wp14:anchorId="585F2E76" wp14:editId="56865003">
          <wp:extent cx="1822027" cy="859809"/>
          <wp:effectExtent l="0" t="0" r="698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652" cy="862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911A71">
    <w:pPr>
      <w:pStyle w:val="Kopfzeile"/>
    </w:pPr>
  </w:p>
  <w:p w:rsidR="00C536C2" w:rsidRDefault="00C536C2" w:rsidP="00911A71">
    <w:pPr>
      <w:pStyle w:val="Kopfzeile"/>
    </w:pPr>
  </w:p>
  <w:p w:rsidR="00C536C2" w:rsidRDefault="00C536C2" w:rsidP="00911A71">
    <w:pPr>
      <w:pStyle w:val="Kopfzeile"/>
    </w:pPr>
  </w:p>
  <w:p w:rsidR="00437505" w:rsidRPr="00437505" w:rsidRDefault="00437505" w:rsidP="00911A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3171F"/>
    <w:multiLevelType w:val="hybridMultilevel"/>
    <w:tmpl w:val="6374F756"/>
    <w:lvl w:ilvl="0" w:tplc="0807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46A0A17"/>
    <w:multiLevelType w:val="hybridMultilevel"/>
    <w:tmpl w:val="78D8779A"/>
    <w:lvl w:ilvl="0" w:tplc="086C8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DF518D"/>
    <w:multiLevelType w:val="hybridMultilevel"/>
    <w:tmpl w:val="CC9E6784"/>
    <w:lvl w:ilvl="0" w:tplc="08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1">
    <w:nsid w:val="1CBC148D"/>
    <w:multiLevelType w:val="hybridMultilevel"/>
    <w:tmpl w:val="5380DEB8"/>
    <w:lvl w:ilvl="0" w:tplc="E6329DA2">
      <w:start w:val="1"/>
      <w:numFmt w:val="bullet"/>
      <w:pStyle w:val="bulletedlis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020DF"/>
    <w:multiLevelType w:val="hybridMultilevel"/>
    <w:tmpl w:val="9528B194"/>
    <w:lvl w:ilvl="0" w:tplc="5A446346">
      <w:start w:val="1"/>
      <w:numFmt w:val="bullet"/>
      <w:lvlText w:val="-"/>
      <w:lvlJc w:val="left"/>
      <w:pPr>
        <w:ind w:left="783" w:hanging="360"/>
      </w:pPr>
      <w:rPr>
        <w:rFonts w:ascii="Dsignes Regular" w:hAnsi="Dsignes Regular" w:hint="default"/>
      </w:rPr>
    </w:lvl>
    <w:lvl w:ilvl="1" w:tplc="08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7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1">
    <w:nsid w:val="6A8662D4"/>
    <w:multiLevelType w:val="multilevel"/>
    <w:tmpl w:val="75384DEA"/>
    <w:numStyleLink w:val="FHNWAufzhlung"/>
  </w:abstractNum>
  <w:abstractNum w:abstractNumId="22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9"/>
  </w:num>
  <w:num w:numId="3">
    <w:abstractNumId w:val="22"/>
  </w:num>
  <w:num w:numId="4">
    <w:abstractNumId w:val="3"/>
  </w:num>
  <w:num w:numId="5">
    <w:abstractNumId w:val="25"/>
  </w:num>
  <w:num w:numId="6">
    <w:abstractNumId w:val="5"/>
  </w:num>
  <w:num w:numId="7">
    <w:abstractNumId w:val="19"/>
  </w:num>
  <w:num w:numId="8">
    <w:abstractNumId w:val="1"/>
  </w:num>
  <w:num w:numId="9">
    <w:abstractNumId w:val="2"/>
  </w:num>
  <w:num w:numId="10">
    <w:abstractNumId w:val="18"/>
  </w:num>
  <w:num w:numId="11">
    <w:abstractNumId w:val="13"/>
  </w:num>
  <w:num w:numId="12">
    <w:abstractNumId w:val="14"/>
  </w:num>
  <w:num w:numId="13">
    <w:abstractNumId w:val="8"/>
  </w:num>
  <w:num w:numId="14">
    <w:abstractNumId w:val="17"/>
  </w:num>
  <w:num w:numId="15">
    <w:abstractNumId w:val="20"/>
  </w:num>
  <w:num w:numId="16">
    <w:abstractNumId w:val="0"/>
  </w:num>
  <w:num w:numId="17">
    <w:abstractNumId w:val="23"/>
  </w:num>
  <w:num w:numId="18">
    <w:abstractNumId w:val="23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0"/>
  </w:num>
  <w:num w:numId="20">
    <w:abstractNumId w:val="16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6"/>
    <w:rsid w:val="000210DE"/>
    <w:rsid w:val="00031CAA"/>
    <w:rsid w:val="0005534A"/>
    <w:rsid w:val="00071507"/>
    <w:rsid w:val="00072E40"/>
    <w:rsid w:val="00091A37"/>
    <w:rsid w:val="000976AF"/>
    <w:rsid w:val="000C358E"/>
    <w:rsid w:val="000E5CC1"/>
    <w:rsid w:val="000F4DD8"/>
    <w:rsid w:val="000F7F62"/>
    <w:rsid w:val="00106EAE"/>
    <w:rsid w:val="001149D2"/>
    <w:rsid w:val="00152C92"/>
    <w:rsid w:val="00156BA9"/>
    <w:rsid w:val="001709BF"/>
    <w:rsid w:val="00180D32"/>
    <w:rsid w:val="001832DB"/>
    <w:rsid w:val="00185638"/>
    <w:rsid w:val="001B435D"/>
    <w:rsid w:val="001D1088"/>
    <w:rsid w:val="001E544A"/>
    <w:rsid w:val="001F6DC0"/>
    <w:rsid w:val="00203DDE"/>
    <w:rsid w:val="00212C35"/>
    <w:rsid w:val="00213675"/>
    <w:rsid w:val="002259EE"/>
    <w:rsid w:val="00233FF0"/>
    <w:rsid w:val="00240915"/>
    <w:rsid w:val="00255D4B"/>
    <w:rsid w:val="00287478"/>
    <w:rsid w:val="0029605A"/>
    <w:rsid w:val="002A1592"/>
    <w:rsid w:val="002A27DF"/>
    <w:rsid w:val="002B467D"/>
    <w:rsid w:val="002C65A4"/>
    <w:rsid w:val="002D2051"/>
    <w:rsid w:val="002E7766"/>
    <w:rsid w:val="002F2EE6"/>
    <w:rsid w:val="00351B21"/>
    <w:rsid w:val="00371457"/>
    <w:rsid w:val="00375A78"/>
    <w:rsid w:val="00377142"/>
    <w:rsid w:val="003A6CBA"/>
    <w:rsid w:val="003D4F97"/>
    <w:rsid w:val="003D5940"/>
    <w:rsid w:val="00400861"/>
    <w:rsid w:val="00405B61"/>
    <w:rsid w:val="0040684A"/>
    <w:rsid w:val="00416E43"/>
    <w:rsid w:val="00420F57"/>
    <w:rsid w:val="00424F5A"/>
    <w:rsid w:val="00425687"/>
    <w:rsid w:val="00437505"/>
    <w:rsid w:val="0044621F"/>
    <w:rsid w:val="00453433"/>
    <w:rsid w:val="00460C63"/>
    <w:rsid w:val="00471322"/>
    <w:rsid w:val="00473483"/>
    <w:rsid w:val="004B558A"/>
    <w:rsid w:val="004C5569"/>
    <w:rsid w:val="004C6864"/>
    <w:rsid w:val="004E74B4"/>
    <w:rsid w:val="004F505A"/>
    <w:rsid w:val="00556879"/>
    <w:rsid w:val="00572350"/>
    <w:rsid w:val="0057705E"/>
    <w:rsid w:val="00577CC6"/>
    <w:rsid w:val="00595194"/>
    <w:rsid w:val="005A5E71"/>
    <w:rsid w:val="005C2235"/>
    <w:rsid w:val="005C619C"/>
    <w:rsid w:val="005D06CF"/>
    <w:rsid w:val="005D110E"/>
    <w:rsid w:val="005E2EF6"/>
    <w:rsid w:val="00607F7C"/>
    <w:rsid w:val="00622A0B"/>
    <w:rsid w:val="00633A4F"/>
    <w:rsid w:val="00667208"/>
    <w:rsid w:val="00671468"/>
    <w:rsid w:val="00672C6E"/>
    <w:rsid w:val="006C2660"/>
    <w:rsid w:val="006D02C9"/>
    <w:rsid w:val="006D1010"/>
    <w:rsid w:val="006D3D07"/>
    <w:rsid w:val="006E33C4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A5513"/>
    <w:rsid w:val="007C226C"/>
    <w:rsid w:val="007C2CBA"/>
    <w:rsid w:val="007D27D0"/>
    <w:rsid w:val="007D3D38"/>
    <w:rsid w:val="007E3C24"/>
    <w:rsid w:val="007F05CD"/>
    <w:rsid w:val="00841A5A"/>
    <w:rsid w:val="008432BF"/>
    <w:rsid w:val="00846B2E"/>
    <w:rsid w:val="008535F3"/>
    <w:rsid w:val="00856097"/>
    <w:rsid w:val="00872A31"/>
    <w:rsid w:val="00884CF6"/>
    <w:rsid w:val="00890A63"/>
    <w:rsid w:val="008C043B"/>
    <w:rsid w:val="008E73D6"/>
    <w:rsid w:val="00911A71"/>
    <w:rsid w:val="00923475"/>
    <w:rsid w:val="00930160"/>
    <w:rsid w:val="0093668C"/>
    <w:rsid w:val="00952F27"/>
    <w:rsid w:val="00961659"/>
    <w:rsid w:val="00976795"/>
    <w:rsid w:val="00986379"/>
    <w:rsid w:val="009D65FB"/>
    <w:rsid w:val="009E55BD"/>
    <w:rsid w:val="009E67A7"/>
    <w:rsid w:val="00A07CE5"/>
    <w:rsid w:val="00A21CA3"/>
    <w:rsid w:val="00A43A20"/>
    <w:rsid w:val="00A5737E"/>
    <w:rsid w:val="00A723BF"/>
    <w:rsid w:val="00A76598"/>
    <w:rsid w:val="00A856CC"/>
    <w:rsid w:val="00A95834"/>
    <w:rsid w:val="00AA0020"/>
    <w:rsid w:val="00AB6C85"/>
    <w:rsid w:val="00AC0F7D"/>
    <w:rsid w:val="00AC1D9F"/>
    <w:rsid w:val="00AC5B16"/>
    <w:rsid w:val="00AD0C43"/>
    <w:rsid w:val="00AD7023"/>
    <w:rsid w:val="00B07C01"/>
    <w:rsid w:val="00B1229F"/>
    <w:rsid w:val="00B22B80"/>
    <w:rsid w:val="00B253C0"/>
    <w:rsid w:val="00B33577"/>
    <w:rsid w:val="00B534BF"/>
    <w:rsid w:val="00BE2EDC"/>
    <w:rsid w:val="00BF091D"/>
    <w:rsid w:val="00BF38DB"/>
    <w:rsid w:val="00BF446C"/>
    <w:rsid w:val="00BF66FC"/>
    <w:rsid w:val="00C00E02"/>
    <w:rsid w:val="00C26422"/>
    <w:rsid w:val="00C3499C"/>
    <w:rsid w:val="00C46B98"/>
    <w:rsid w:val="00C50216"/>
    <w:rsid w:val="00C536C2"/>
    <w:rsid w:val="00C55850"/>
    <w:rsid w:val="00C829E8"/>
    <w:rsid w:val="00C86E2E"/>
    <w:rsid w:val="00C93C45"/>
    <w:rsid w:val="00CA3FC5"/>
    <w:rsid w:val="00CA50DE"/>
    <w:rsid w:val="00CC7BF8"/>
    <w:rsid w:val="00CE1A62"/>
    <w:rsid w:val="00CE2B5E"/>
    <w:rsid w:val="00CE67F0"/>
    <w:rsid w:val="00D3108D"/>
    <w:rsid w:val="00D36B2A"/>
    <w:rsid w:val="00D37A43"/>
    <w:rsid w:val="00D40A08"/>
    <w:rsid w:val="00D456E5"/>
    <w:rsid w:val="00D778D9"/>
    <w:rsid w:val="00DC5B31"/>
    <w:rsid w:val="00DD0651"/>
    <w:rsid w:val="00DE06A6"/>
    <w:rsid w:val="00DF7D0C"/>
    <w:rsid w:val="00E24705"/>
    <w:rsid w:val="00E41F2C"/>
    <w:rsid w:val="00E64A70"/>
    <w:rsid w:val="00E93446"/>
    <w:rsid w:val="00EA0353"/>
    <w:rsid w:val="00EA45BF"/>
    <w:rsid w:val="00EA543B"/>
    <w:rsid w:val="00EC11C5"/>
    <w:rsid w:val="00EC489F"/>
    <w:rsid w:val="00EC7105"/>
    <w:rsid w:val="00ED076C"/>
    <w:rsid w:val="00ED0D02"/>
    <w:rsid w:val="00EF37AE"/>
    <w:rsid w:val="00F140C5"/>
    <w:rsid w:val="00F15971"/>
    <w:rsid w:val="00F2238D"/>
    <w:rsid w:val="00F369AA"/>
    <w:rsid w:val="00F540E2"/>
    <w:rsid w:val="00F56BE1"/>
    <w:rsid w:val="00F73D6D"/>
    <w:rsid w:val="00F87E59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A71"/>
    <w:pPr>
      <w:keepNext/>
      <w:spacing w:beforeLines="20" w:before="48" w:afterLines="60" w:after="144" w:line="240" w:lineRule="auto"/>
    </w:pPr>
    <w:rPr>
      <w:rFonts w:ascii="Arial" w:eastAsia="Times New Roman" w:hAnsi="Arial" w:cs="Times New Roman"/>
      <w:szCs w:val="20"/>
      <w:lang w:val="en-GB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rPr>
      <w:sz w:val="16"/>
      <w:szCs w:val="24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subtask">
    <w:name w:val="subtask"/>
    <w:basedOn w:val="Standard"/>
    <w:next w:val="Standard"/>
    <w:qFormat/>
    <w:rsid w:val="006D3D07"/>
    <w:pPr>
      <w:spacing w:afterLines="20" w:after="48"/>
    </w:pPr>
    <w:rPr>
      <w:i/>
    </w:rPr>
  </w:style>
  <w:style w:type="paragraph" w:customStyle="1" w:styleId="bulletedlist">
    <w:name w:val="bulleted list"/>
    <w:basedOn w:val="Listenabsatz"/>
    <w:qFormat/>
    <w:rsid w:val="00556879"/>
    <w:pPr>
      <w:numPr>
        <w:numId w:val="29"/>
      </w:numPr>
      <w:spacing w:before="20" w:afterLines="20" w:after="20"/>
      <w:ind w:left="227" w:hanging="221"/>
    </w:pPr>
  </w:style>
  <w:style w:type="paragraph" w:customStyle="1" w:styleId="Fuzeile1">
    <w:name w:val="Fußzeile1"/>
    <w:basedOn w:val="Standard"/>
    <w:qFormat/>
    <w:rsid w:val="00CE67F0"/>
    <w:pPr>
      <w:tabs>
        <w:tab w:val="right" w:pos="9356"/>
      </w:tabs>
      <w:spacing w:beforeLines="0" w:before="0" w:afterLines="0" w:after="0"/>
    </w:pPr>
  </w:style>
  <w:style w:type="paragraph" w:customStyle="1" w:styleId="Task">
    <w:name w:val="Task"/>
    <w:basedOn w:val="Standard"/>
    <w:next w:val="Standard"/>
    <w:qFormat/>
    <w:rsid w:val="002A1592"/>
    <w:pPr>
      <w:spacing w:before="20" w:afterLines="20" w:after="20"/>
    </w:pPr>
    <w:rPr>
      <w:b/>
    </w:rPr>
  </w:style>
  <w:style w:type="paragraph" w:customStyle="1" w:styleId="Heading">
    <w:name w:val="Heading"/>
    <w:basedOn w:val="Standard"/>
    <w:qFormat/>
    <w:rsid w:val="00240915"/>
    <w:rPr>
      <w:sz w:val="32"/>
      <w:szCs w:val="32"/>
    </w:rPr>
  </w:style>
  <w:style w:type="paragraph" w:customStyle="1" w:styleId="Attendees">
    <w:name w:val="Attendees"/>
    <w:basedOn w:val="Standard"/>
    <w:qFormat/>
    <w:rsid w:val="00240915"/>
    <w:pPr>
      <w:spacing w:beforeLines="0" w:before="0" w:afterLines="0" w:after="0"/>
    </w:pPr>
  </w:style>
  <w:style w:type="paragraph" w:customStyle="1" w:styleId="Titel1">
    <w:name w:val="Titel1"/>
    <w:basedOn w:val="Standard"/>
    <w:qFormat/>
    <w:rsid w:val="00AB6C85"/>
    <w:pPr>
      <w:spacing w:before="20" w:after="60"/>
      <w:ind w:left="1134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A71"/>
    <w:pPr>
      <w:keepNext/>
      <w:spacing w:beforeLines="20" w:before="48" w:afterLines="60" w:after="144" w:line="240" w:lineRule="auto"/>
    </w:pPr>
    <w:rPr>
      <w:rFonts w:ascii="Arial" w:eastAsia="Times New Roman" w:hAnsi="Arial" w:cs="Times New Roman"/>
      <w:szCs w:val="20"/>
      <w:lang w:val="en-GB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rPr>
      <w:sz w:val="16"/>
      <w:szCs w:val="24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subtask">
    <w:name w:val="subtask"/>
    <w:basedOn w:val="Standard"/>
    <w:next w:val="Standard"/>
    <w:qFormat/>
    <w:rsid w:val="006D3D07"/>
    <w:pPr>
      <w:spacing w:afterLines="20" w:after="48"/>
    </w:pPr>
    <w:rPr>
      <w:i/>
    </w:rPr>
  </w:style>
  <w:style w:type="paragraph" w:customStyle="1" w:styleId="bulletedlist">
    <w:name w:val="bulleted list"/>
    <w:basedOn w:val="Listenabsatz"/>
    <w:qFormat/>
    <w:rsid w:val="00556879"/>
    <w:pPr>
      <w:numPr>
        <w:numId w:val="29"/>
      </w:numPr>
      <w:spacing w:before="20" w:afterLines="20" w:after="20"/>
      <w:ind w:left="227" w:hanging="221"/>
    </w:pPr>
  </w:style>
  <w:style w:type="paragraph" w:customStyle="1" w:styleId="Fuzeile1">
    <w:name w:val="Fußzeile1"/>
    <w:basedOn w:val="Standard"/>
    <w:qFormat/>
    <w:rsid w:val="00CE67F0"/>
    <w:pPr>
      <w:tabs>
        <w:tab w:val="right" w:pos="9356"/>
      </w:tabs>
      <w:spacing w:beforeLines="0" w:before="0" w:afterLines="0" w:after="0"/>
    </w:pPr>
  </w:style>
  <w:style w:type="paragraph" w:customStyle="1" w:styleId="Task">
    <w:name w:val="Task"/>
    <w:basedOn w:val="Standard"/>
    <w:next w:val="Standard"/>
    <w:qFormat/>
    <w:rsid w:val="002A1592"/>
    <w:pPr>
      <w:spacing w:before="20" w:afterLines="20" w:after="20"/>
    </w:pPr>
    <w:rPr>
      <w:b/>
    </w:rPr>
  </w:style>
  <w:style w:type="paragraph" w:customStyle="1" w:styleId="Heading">
    <w:name w:val="Heading"/>
    <w:basedOn w:val="Standard"/>
    <w:qFormat/>
    <w:rsid w:val="00240915"/>
    <w:rPr>
      <w:sz w:val="32"/>
      <w:szCs w:val="32"/>
    </w:rPr>
  </w:style>
  <w:style w:type="paragraph" w:customStyle="1" w:styleId="Attendees">
    <w:name w:val="Attendees"/>
    <w:basedOn w:val="Standard"/>
    <w:qFormat/>
    <w:rsid w:val="00240915"/>
    <w:pPr>
      <w:spacing w:beforeLines="0" w:before="0" w:afterLines="0" w:after="0"/>
    </w:pPr>
  </w:style>
  <w:style w:type="paragraph" w:customStyle="1" w:styleId="Titel1">
    <w:name w:val="Titel1"/>
    <w:basedOn w:val="Standard"/>
    <w:qFormat/>
    <w:rsid w:val="00AB6C85"/>
    <w:pPr>
      <w:spacing w:before="20" w:after="60"/>
      <w:ind w:left="113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3A24D-32A9-4368-9C8F-F20E062E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2014-03-13T14:40:00Z</dcterms:created>
  <dcterms:modified xsi:type="dcterms:W3CDTF">2014-03-21T17:07:00Z</dcterms:modified>
</cp:coreProperties>
</file>